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 Id="r7"
    Type="http://schemas.openxmlformats.org/officeDocument/2006/relationships/hyperlink"
    TargetMode="External"
    Target="https://www.westlaw.com/Search/Results.html?query=advanced%3a+WCAID(IF02DA23342B111DD961A0014224D2780)&amp;saveJuris=False&amp;contentType=BUSINESS-INVESTIGATOR&amp;startIndex=1&amp;contextData=(sc.Default)&amp;categoryPageUrl=Home%2fCompanyInvestigator&amp;originationContext=document&amp;vr=3.0&amp;rs=cblt1.0&amp;transitionType=DocumentItem"/>
  <Relationship Id="r8"
    Type="http://schemas.openxmlformats.org/officeDocument/2006/relationships/hyperlink"
    TargetMode="External"
    Target="https://www.westlaw.com/Search/Results.html?query=advanced%3a+WCAID(IF02DA23342B111DD961A0014224D2780)&amp;saveJuris=False&amp;contentType=BUSINESS-INVESTIGATOR&amp;startIndex=1&amp;contextData=(sc.Default)&amp;categoryPageUrl=Home%2fCompanyInvestigator&amp;originationContext=document&amp;vr=3.0&amp;rs=cblt1.0&amp;transitionType=DocumentItem"/>
  <Relationship Id="r9"
    Type="http://schemas.openxmlformats.org/officeDocument/2006/relationships/hyperlink"
    TargetMode="External"
    Target="https://www.westlaw.com/Search/Results.html?query=advanced%3a+WCAID(d18921ffe1c34b42882fd13d2728ec20)&amp;saveJuris=False&amp;contentType=BUSINESS-INVESTIGATOR&amp;startIndex=1&amp;contextData=(sc.Default)&amp;categoryPageUrl=Home%2fCompanyInvestigator&amp;originationContext=document&amp;vr=3.0&amp;rs=cblt1.0&amp;transitionType=DocumentItem"/>
  <Relationship Id="r10"
    Type="http://schemas.openxmlformats.org/officeDocument/2006/relationships/hyperlink"
    TargetMode="External"
    Target="https://www.westlaw.com/Link/Document/FullText?findType=h&amp;pubNum=176284&amp;cite=0505107401&amp;originatingDoc=I88daaeb0b6ee11f09e9aad53ac31415a&amp;refType=RQ&amp;originationContext=document&amp;vr=3.0&amp;rs=cblt1.0&amp;transitionType=DocumentItem&amp;contextData=(sc.Search)"/>
  <Relationship Id="r11"
    Type="http://schemas.openxmlformats.org/officeDocument/2006/relationships/hyperlink"
    TargetMode="External"
    Target="https://www.westlaw.com/Link/Document/FullText?findType=h&amp;pubNum=176284&amp;cite=0369120901&amp;originatingDoc=I88daaeb0b6ee11f09e9aad53ac31415a&amp;refType=RQ&amp;originationContext=document&amp;vr=3.0&amp;rs=cblt1.0&amp;transitionType=DocumentItem&amp;contextData=(sc.Search)"/>
  <Relationship Id="r12"
    Type="http://schemas.openxmlformats.org/officeDocument/2006/relationships/hyperlink"
    TargetMode="External"
    Target="https://www.westlaw.com/Link/Document/FullText?findType=h&amp;pubNum=176284&amp;cite=0529125301&amp;originatingDoc=I88daaeb0b6ee11f09e9aad53ac31415a&amp;refType=RQ&amp;originationContext=document&amp;vr=3.0&amp;rs=cblt1.0&amp;transitionType=DocumentItem&amp;contextData=(sc.Search)"/>
  <Relationship Id="r13"
    Type="http://schemas.openxmlformats.org/officeDocument/2006/relationships/hyperlink"
    TargetMode="External"
    Target="https://www.westlaw.com/Link/Document/FullText?findType=h&amp;pubNum=176284&amp;cite=0330432901&amp;originatingDoc=I88daaeb0b6ee11f09e9aad53ac31415a&amp;refType=RQ&amp;originationContext=document&amp;vr=3.0&amp;rs=cblt1.0&amp;transitionType=DocumentItem&amp;contextData=(sc.Search)"/>
  <Relationship Id="r14"
    Type="http://schemas.openxmlformats.org/officeDocument/2006/relationships/hyperlink"
    TargetMode="External"
    Target="https://www.westlaw.com/Link/Document/FullText?findType=h&amp;pubNum=176284&amp;cite=0243515899&amp;originatingDoc=I88daaeb0b6ee11f09e9aad53ac31415a&amp;refType=RQ&amp;originationContext=document&amp;vr=3.0&amp;rs=cblt1.0&amp;transitionType=DocumentItem&amp;contextData=(sc.Search)"/>
  <Relationship Id="r15"
    Type="http://schemas.openxmlformats.org/officeDocument/2006/relationships/hyperlink"
    TargetMode="External"
    Target="https://www.westlaw.com/Link/Document/FullText?findType=L&amp;pubNum=1000600&amp;cite=USFRCPR26&amp;originatingDoc=I88daaeb0b6ee11f09e9aad53ac31415a&amp;refType=RB&amp;originationContext=document&amp;vr=3.0&amp;rs=cblt1.0&amp;transitionType=DocumentItem&amp;contextData=(sc.Search)#co_pp_4b24000003ba5"/>
  <Relationship Id="r16"
    Type="http://schemas.openxmlformats.org/officeDocument/2006/relationships/hyperlink"
    TargetMode="External"
    Target="https://www.westlaw.com/Link/Document/FullText?findType=L&amp;pubNum=1000600&amp;cite=USFRCPR26&amp;originatingDoc=I88daaeb0b6ee11f09e9aad53ac31415a&amp;refType=RB&amp;originationContext=document&amp;vr=3.0&amp;rs=cblt1.0&amp;transitionType=DocumentItem&amp;contextData=(sc.Search)#co_pp_7fdd00001ca15"/>
  <Relationship Id="r17"
    Type="http://schemas.openxmlformats.org/officeDocument/2006/relationships/hyperlink"
    TargetMode="External"
    Target="https://www.westlaw.com/Link/Document/FullText?findType=L&amp;pubNum=1000600&amp;cite=USFRCPR26&amp;originatingDoc=I88daaeb0b6ee11f09e9aad53ac31415a&amp;refType=RB&amp;originationContext=document&amp;vr=3.0&amp;rs=cblt1.0&amp;transitionType=DocumentItem&amp;contextData=(sc.Search)#co_pp_f8750000aedd6"/>
  <Relationship Id="r18"
    Type="http://schemas.openxmlformats.org/officeDocument/2006/relationships/hyperlink"
    TargetMode="External"
    Target="https://www.westlaw.com/Link/Document/FullText?findType=Y&amp;serNum=2078410214&amp;pubNum=0000999&amp;originatingDoc=I88daaeb0b6ee11f09e9aad53ac31415a&amp;refType=RP&amp;originationContext=document&amp;vr=3.0&amp;rs=cblt1.0&amp;transitionType=DocumentItem&amp;contextData=(sc.Search)"/>
  <Relationship Id="r19"
    Type="http://schemas.openxmlformats.org/officeDocument/2006/relationships/hyperlink"
    TargetMode="External"
    Target="https://www.westlaw.com/Link/Document/FullText?findType=Y&amp;serNum=2002357628&amp;pubNum=0000506&amp;originatingDoc=I88daaeb0b6ee11f09e9aad53ac31415a&amp;refType=RP&amp;fi=co_pp_sp_506_303&amp;originationContext=document&amp;vr=3.0&amp;rs=cblt1.0&amp;transitionType=DocumentItem&amp;contextData=(sc.Search)#co_pp_sp_506_303"/>
  <Relationship Id="r20"
    Type="http://schemas.openxmlformats.org/officeDocument/2006/relationships/hyperlink"
    TargetMode="External"
    Target="https://www.westlaw.com/Link/Document/FullText?findType=L&amp;pubNum=1000600&amp;cite=USFRCPR34&amp;originatingDoc=I88daaeb0b6ee11f09e9aad53ac31415a&amp;refType=RB&amp;originationContext=document&amp;vr=3.0&amp;rs=cblt1.0&amp;transitionType=DocumentItem&amp;contextData=(sc.Search)#co_pp_f7fb0000553d1"/>
  <Relationship Id="r21"
    Type="http://schemas.openxmlformats.org/officeDocument/2006/relationships/hyperlink"
    TargetMode="External"
    Target="https://www.westlaw.com/Link/Document/FullText?findType=L&amp;pubNum=1000600&amp;cite=USFRCPR26&amp;originatingDoc=I88daaeb0b6ee11f09e9aad53ac31415a&amp;refType=RB&amp;originationContext=document&amp;vr=3.0&amp;rs=cblt1.0&amp;transitionType=DocumentItem&amp;contextData=(sc.Search)#co_pp_4b24000003ba5"/>
  <Relationship Id="r22"
    Type="http://schemas.openxmlformats.org/officeDocument/2006/relationships/hyperlink"
    TargetMode="External"
    Target="https://www.westlaw.com/Link/Document/FullText?findType=L&amp;pubNum=1000600&amp;cite=USFRCPR26&amp;originatingDoc=I88daaeb0b6ee11f09e9aad53ac31415a&amp;refType=RB&amp;originationContext=document&amp;vr=3.0&amp;rs=cblt1.0&amp;transitionType=DocumentItem&amp;contextData=(sc.Search)#co_pp_17df000040924"/>
  <Relationship Id="r23"
    Type="http://schemas.openxmlformats.org/officeDocument/2006/relationships/hyperlink"
    TargetMode="External"
    Target="https://www.westlaw.com/Link/Document/FullText?findType=L&amp;pubNum=1000600&amp;cite=USFRCPR30&amp;originatingDoc=I88daaeb0b6ee11f09e9aad53ac31415a&amp;refType=RB&amp;originationContext=document&amp;vr=3.0&amp;rs=cblt1.0&amp;transitionType=DocumentItem&amp;contextData=(sc.Search)#co_pp_e07e0000a9f57"/>
  <Relationship Id="r24"
    Type="http://schemas.openxmlformats.org/officeDocument/2006/relationships/hyperlink"
    TargetMode="External"
    Target="https://www.westlaw.com/Link/Document/FullText?findType=L&amp;pubNum=1000600&amp;cite=USFRCPR37&amp;originatingDoc=I88daaeb0b6ee11f09e9aad53ac31415a&amp;refType=RB&amp;originationContext=document&amp;vr=3.0&amp;rs=cblt1.0&amp;transitionType=DocumentItem&amp;contextData=(sc.Search)#co_pp_5ba1000067d06"/>
  <Relationship Id="r25"
    Type="http://schemas.openxmlformats.org/officeDocument/2006/relationships/hyperlink"
    TargetMode="External"
    Target="https://www.westlaw.com/Link/Document/FullText?findType=Y&amp;serNum=1996076627&amp;pubNum=0000344&amp;originatingDoc=I88daaeb0b6ee11f09e9aad53ac31415a&amp;refType=RP&amp;originationContext=document&amp;vr=3.0&amp;rs=cblt1.0&amp;transitionType=DocumentItem&amp;contextData=(sc.Search)"/>
  <Relationship Id="r26"
    Type="http://schemas.openxmlformats.org/officeDocument/2006/relationships/hyperlink"
    TargetMode="External"
    Target="https://www.westlaw.com/Link/Document/FullText?findType=Y&amp;serNum=2057857053&amp;pubNum=0000999&amp;originatingDoc=I88daaeb0b6ee11f09e9aad53ac31415a&amp;refType=RP&amp;originationContext=document&amp;vr=3.0&amp;rs=cblt1.0&amp;transitionType=DocumentItem&amp;contextData=(sc.Search)"/>
  <Relationship Id="r27"
    Type="http://schemas.openxmlformats.org/officeDocument/2006/relationships/hyperlink"
    TargetMode="External"
    Target="https://www.westlaw.com/Link/Document/FullText?findType=L&amp;pubNum=1000600&amp;cite=USFRCPR11&amp;originatingDoc=I88daaeb0b6ee11f09e9aad53ac31415a&amp;refType=LQ&amp;originationContext=document&amp;vr=3.0&amp;rs=cblt1.0&amp;transitionType=DocumentItem&amp;contextData=(sc.Search)"/>
  <Relationship Id="r28"
    Type="http://schemas.openxmlformats.org/officeDocument/2006/relationships/hyperlink"
    TargetMode="External"
    Target="https://www.westlaw.com/Link/Document/FullText?findType=L&amp;pubNum=1000600&amp;cite=USFRCPR37&amp;originatingDoc=I88daaeb0b6ee11f09e9aad53ac31415a&amp;refType=RB&amp;originationContext=document&amp;vr=3.0&amp;rs=cblt1.0&amp;transitionType=DocumentItem&amp;contextData=(sc.Search)#co_pp_488b0000d05e2"/>
  <Relationship Id="r29"
    Type="http://schemas.openxmlformats.org/officeDocument/2006/relationships/hyperlink"
    TargetMode="External"
    Target="https://www.westlaw.com/Link/Document/FullText?findType=L&amp;pubNum=1000600&amp;cite=USFRCPR37&amp;originatingDoc=I88daaeb0b6ee11f09e9aad53ac31415a&amp;refType=RB&amp;originationContext=document&amp;vr=3.0&amp;rs=cblt1.0&amp;transitionType=DocumentItem&amp;contextData=(sc.Search)#co_pp_4ff00000b20f0"/>
  <Relationship Id="r30"
    Type="http://schemas.openxmlformats.org/officeDocument/2006/relationships/hyperlink"
    TargetMode="External"
    Target="https://www.westlaw.com/Link/Document/FullText?findType=L&amp;pubNum=1000600&amp;cite=USFRCPR37&amp;originatingDoc=I88daaeb0b6ee11f09e9aad53ac31415a&amp;refType=RB&amp;originationContext=document&amp;vr=3.0&amp;rs=cblt1.0&amp;transitionType=DocumentItem&amp;contextData=(sc.Search)#co_pp_2ab20000617e3"/>
  <Relationship Id="r31"
    Type="http://schemas.openxmlformats.org/officeDocument/2006/relationships/hyperlink"
    TargetMode="External"
    Target="https://www.westlaw.com/Link/Document/FullText?findType=L&amp;pubNum=1000600&amp;cite=USFRCPR34&amp;originatingDoc=I88daaeb0b6ee11f09e9aad53ac31415a&amp;refType=LQ&amp;originationContext=document&amp;vr=3.0&amp;rs=cblt1.0&amp;transitionType=DocumentItem&amp;contextData=(sc.Search)"/>
  <Relationship Id="r32"
    Type="http://schemas.openxmlformats.org/officeDocument/2006/relationships/hyperlink"
    TargetMode="External"
    Target="https://www.westlaw.com/Link/Document/FullText?findType=L&amp;pubNum=1000600&amp;cite=USFRCPR72&amp;originatingDoc=I88daaeb0b6ee11f09e9aad53ac31415a&amp;refType=RB&amp;originationContext=document&amp;vr=3.0&amp;rs=cblt1.0&amp;transitionType=DocumentItem&amp;contextData=(sc.Search)#co_pp_8b3b0000958a4"/>
  <Relationship Id="r33"
    Type="http://schemas.openxmlformats.org/officeDocument/2006/relationships/hyperlink"
    TargetMode="External"
    Target="https://www.westlaw.com/Link/Document/FullText?findType=L&amp;pubNum=1000546&amp;cite=28USCAS636&amp;originatingDoc=I88daaeb0b6ee11f09e9aad53ac31415a&amp;refType=RB&amp;originationContext=document&amp;vr=3.0&amp;rs=cblt1.0&amp;transitionType=DocumentItem&amp;contextData=(sc.Search)#co_pp_3fed000053a85"/>
</Relationships>

</file>

<file path=_rels/footer1.xml.rels><?xml version="1.0" encoding="UTF-8"?>
<Relationships xmlns="http://schemas.openxmlformats.org/package/2006/relationships">
  <Relationship Id="r1"
    Type="http://schemas.openxmlformats.org/officeDocument/2006/relationships/image"
    Target="images/1.png"/>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co_document_1"/>
    <w:p>
      <w:pPr>
        <w:pBdr>
          <w:top w:val="none" w:space="4"/>
        </w:pBdr>
        <w:spacing w:before="0" w:after="0" w:line="275" w:lineRule="atLeast"/>
        <w:jc w:val="both"/>
      </w:pPr>
      <w:bookmarkStart w:id="1" w:name="I88daaeb0b6ee11f09e9aad53ac31415a_Targe"/>
      <w:bookmarkEnd w:id="1"/>
    </w:p>
    <w:bookmarkEnd w:id="0"/>
    <w:p>
      <w:pPr>
        <w:spacing w:before="0" w:after="0" w:line="275" w:lineRule="atLeast"/>
        <w:jc w:val="center"/>
      </w:pPr>
      <w:r>
        <w:rPr>
          <w:rFonts w:ascii="Georgia" w:hAnsi="Georgia"/>
          <w:color w:val="1f1f1f"/>
          <w:sz w:val="20"/>
        </w:rPr>
        <w:t>2025 WL 3047881</w:t>
      </w:r>
    </w:p>
    <w:p>
      <w:pPr>
        <w:spacing w:before="0" w:after="0" w:line="275" w:lineRule="atLeast"/>
        <w:jc w:val="center"/>
      </w:pPr>
      <w:r>
        <w:rPr>
          <w:rFonts w:ascii="Georgia" w:hAnsi="Georgia"/>
          <w:color w:val="1f1f1f"/>
          <w:sz w:val="20"/>
        </w:rPr>
        <w:t>Only the Westlaw citation is currently available.</w:t>
      </w:r>
    </w:p>
    <w:p>
      <w:pPr>
        <w:spacing w:before="0" w:after="0" w:line="275" w:lineRule="atLeast"/>
        <w:jc w:val="center"/>
      </w:pPr>
      <w:r>
        <w:rPr>
          <w:rFonts w:ascii="Georgia" w:hAnsi="Georgia"/>
          <w:color w:val="1f1f1f"/>
          <w:sz w:val="20"/>
        </w:rPr>
        <w:t>United States District Court, E.D. Michigan, Southern Division.</w:t>
      </w:r>
    </w:p>
    <w:p>
      <w:pPr>
        <w:spacing w:before="240" w:after="0" w:line="312" w:lineRule="auto"/>
        <w:ind w:left="120" w:right="120" w:firstLine="0"/>
        <w:jc w:val="center"/>
      </w:pPr>
      <w:r>
        <w:rPr>
          <w:rFonts w:ascii="Georgia" w:hAnsi="Georgia"/>
          <w:color w:val="212121"/>
          <w:sz w:val="24"/>
        </w:rPr>
        <w:t>Sohyon WARNER, Plaintiff,</w:t>
      </w:r>
    </w:p>
    <w:p>
      <w:pPr>
        <w:spacing w:before="0" w:after="0" w:line="312" w:lineRule="auto"/>
        <w:ind w:left="120" w:right="120" w:firstLine="0"/>
        <w:jc w:val="center"/>
      </w:pPr>
      <w:r>
        <w:rPr>
          <w:rFonts w:ascii="Georgia" w:hAnsi="Georgia"/>
          <w:color w:val="212121"/>
          <w:sz w:val="24"/>
        </w:rPr>
        <w:t>v.</w:t>
      </w:r>
    </w:p>
    <w:p>
      <w:pPr>
        <w:spacing w:before="0" w:after="0" w:line="312" w:lineRule="auto"/>
        <w:ind w:left="120" w:right="120" w:firstLine="0"/>
        <w:jc w:val="center"/>
      </w:pPr>
      <w:hyperlink r:id="r7">
        <w:r>
          <w:rPr>
            <w:rFonts w:ascii="Georgia" w:hAnsi="Georgia"/>
            <w:color w:val="006fc4"/>
            <w:sz w:val="24"/>
          </w:rPr>
          <w:t>GILBARCO, INC.</w:t>
        </w:r>
      </w:hyperlink>
      <w:r>
        <w:rPr>
          <w:rFonts w:ascii="Georgia" w:hAnsi="Georgia"/>
          <w:color w:val="212121"/>
          <w:sz w:val="24"/>
        </w:rPr>
        <w:t xml:space="preserve">, </w:t>
      </w:r>
      <w:hyperlink r:id="r8">
        <w:r>
          <w:rPr>
            <w:rFonts w:ascii="Georgia" w:hAnsi="Georgia"/>
            <w:color w:val="006fc4"/>
            <w:sz w:val="24"/>
          </w:rPr>
          <w:t>Gilbarco, Inc.</w:t>
        </w:r>
      </w:hyperlink>
      <w:r>
        <w:rPr>
          <w:rFonts w:ascii="Georgia" w:hAnsi="Georgia"/>
          <w:color w:val="212121"/>
          <w:sz w:val="24"/>
        </w:rPr>
        <w:t xml:space="preserve"> (d/b/a </w:t>
      </w:r>
      <w:hyperlink r:id="r9">
        <w:r>
          <w:rPr>
            <w:rFonts w:ascii="Georgia" w:hAnsi="Georgia"/>
            <w:color w:val="006fc4"/>
            <w:sz w:val="24"/>
          </w:rPr>
          <w:t>Gilbarco Veeder-Root) and Vontier Corporation</w:t>
        </w:r>
      </w:hyperlink>
      <w:r>
        <w:rPr>
          <w:rFonts w:ascii="Georgia" w:hAnsi="Georgia"/>
          <w:color w:val="212121"/>
          <w:sz w:val="24"/>
        </w:rPr>
        <w:t>, Defendants.</w:t>
      </w:r>
    </w:p>
    <w:p>
      <w:pPr>
        <w:pBdr>
          <w:left w:val="none" w:space="8"/>
        </w:pBdr>
        <w:spacing w:before="240" w:after="0" w:line="275" w:lineRule="atLeast"/>
        <w:ind w:left="150" w:right="0" w:firstLine="0"/>
        <w:jc w:val="center"/>
      </w:pPr>
      <w:r>
        <w:rPr>
          <w:rFonts w:ascii="Georgia" w:hAnsi="Georgia"/>
          <w:color w:val="1f1f1f"/>
          <w:sz w:val="20"/>
        </w:rPr>
        <w:t>Case No. 2:24-cv-12333</w:t>
      </w:r>
    </w:p>
    <w:p>
      <w:pPr>
        <w:pBdr>
          <w:left w:val="none" w:space="8"/>
        </w:pBdr>
        <w:spacing w:before="0" w:after="0" w:line="275" w:lineRule="atLeast"/>
        <w:ind w:left="150" w:right="0" w:firstLine="0"/>
        <w:jc w:val="center"/>
      </w:pPr>
      <w:r>
        <w:rPr>
          <w:rFonts w:ascii="Georgia" w:hAnsi="Georgia"/>
          <w:color w:val="1f1f1f"/>
          <w:sz w:val="20"/>
        </w:rPr>
        <w:t>|</w:t>
      </w:r>
    </w:p>
    <w:p>
      <w:pPr>
        <w:pBdr>
          <w:left w:val="none" w:space="8"/>
        </w:pBdr>
        <w:spacing w:before="0" w:after="0" w:line="275" w:lineRule="atLeast"/>
        <w:ind w:left="150" w:right="0" w:firstLine="0"/>
        <w:jc w:val="center"/>
      </w:pPr>
      <w:r>
        <w:rPr>
          <w:rFonts w:ascii="Georgia" w:hAnsi="Georgia"/>
          <w:color w:val="1f1f1f"/>
          <w:sz w:val="20"/>
        </w:rPr>
        <w:t>Signed October 30, 2025</w:t>
      </w:r>
    </w:p>
    <w:p>
      <w:pPr>
        <w:spacing w:before="400" w:after="0" w:line="275" w:lineRule="atLeast"/>
        <w:jc w:val="both"/>
      </w:pPr>
      <w:r>
        <w:rPr>
          <w:rFonts w:ascii="Times New Roman" w:hAnsi="Times New Roman"/>
          <w:b/>
          <w:color w:val="1f1f1f"/>
          <w:sz w:val="20"/>
        </w:rPr>
        <w:t>Editor's Note:</w:t>
      </w:r>
      <w:r>
        <w:rPr>
          <w:rFonts w:ascii="Times New Roman" w:hAnsi="Times New Roman"/>
          <w:color w:val="1f1f1f"/>
          <w:sz w:val="20"/>
        </w:rPr>
        <w:t xml:space="preserve"> This decision contains discussion of citation references that are incorrect or do not actually exist. These invalid citations appeared in the original court opinion and have been preserved as written since they are part of the official record. Any links to these invalid citations have been removed.</w:t>
      </w:r>
    </w:p>
    <w:p>
      <w:pPr>
        <w:spacing w:before="0" w:after="0" w:line="275" w:lineRule="atLeast"/>
        <w:jc w:val="both"/>
      </w:pPr>
      <w:r>
        <w:rPr>
          <w:rFonts w:ascii="Times New Roman" w:hAnsi="Times New Roman"/>
          <w:color w:val="1f1f1f"/>
          <w:sz w:val="20"/>
        </w:rPr>
        <w:t> </w:t>
      </w:r>
    </w:p>
    <w:bookmarkStart w:id="2" w:name="co_attorneysAndLawFirms_1"/>
    <w:p>
      <w:pPr>
        <w:keepNext/>
        <w:keepLines/>
        <w:spacing w:before="200" w:after="0" w:line="275" w:lineRule="atLeast"/>
        <w:jc w:val="both"/>
      </w:pPr>
      <w:r>
        <w:rPr>
          <w:rFonts w:ascii="Times New Roman" w:hAnsi="Times New Roman"/>
          <w:b/>
          <w:color w:val="212121"/>
          <w:sz w:val="20"/>
        </w:rPr>
        <w:t>Attorneys and Law Firms</w:t>
      </w:r>
    </w:p>
    <w:bookmarkEnd w:id="2"/>
    <w:p>
      <w:pPr>
        <w:spacing w:before="200" w:after="0" w:line="275" w:lineRule="atLeast"/>
        <w:jc w:val="both"/>
      </w:pPr>
      <w:hyperlink r:id="r10">
        <w:r>
          <w:rPr>
            <w:rFonts w:ascii="Times New Roman" w:hAnsi="Times New Roman"/>
            <w:color w:val="006fc4"/>
            <w:sz w:val="20"/>
          </w:rPr>
          <w:t>Channing E. Robinson-Holmes</w:t>
        </w:r>
      </w:hyperlink>
      <w:r>
        <w:rPr>
          <w:rFonts w:ascii="Times New Roman" w:hAnsi="Times New Roman"/>
          <w:color w:val="1f1f1f"/>
          <w:sz w:val="20"/>
        </w:rPr>
        <w:t xml:space="preserve">, </w:t>
      </w:r>
      <w:hyperlink r:id="r11">
        <w:r>
          <w:rPr>
            <w:rFonts w:ascii="Times New Roman" w:hAnsi="Times New Roman"/>
            <w:color w:val="006fc4"/>
            <w:sz w:val="20"/>
          </w:rPr>
          <w:t>Robert W. Palmer</w:t>
        </w:r>
      </w:hyperlink>
      <w:r>
        <w:rPr>
          <w:rFonts w:ascii="Times New Roman" w:hAnsi="Times New Roman"/>
          <w:color w:val="1f1f1f"/>
          <w:sz w:val="20"/>
        </w:rPr>
        <w:t>, Pitt McGehee Palmer &amp; Rivers, P.C., Royal Oak, MI, for Plaintiff.</w:t>
      </w:r>
    </w:p>
    <w:p>
      <w:pPr>
        <w:spacing w:before="200" w:after="0" w:line="275" w:lineRule="atLeast"/>
        <w:jc w:val="both"/>
      </w:pPr>
      <w:r>
        <w:rPr>
          <w:rFonts w:ascii="Times New Roman" w:hAnsi="Times New Roman"/>
          <w:color w:val="1f1f1f"/>
          <w:sz w:val="20"/>
        </w:rPr>
        <w:t>Sohyon Lamplighter Warner, Bloomfield Hills, MI, Pro Se.</w:t>
      </w:r>
    </w:p>
    <w:p>
      <w:pPr>
        <w:spacing w:before="200" w:after="0" w:line="275" w:lineRule="atLeast"/>
        <w:jc w:val="both"/>
      </w:pPr>
      <w:hyperlink r:id="r12">
        <w:r>
          <w:rPr>
            <w:rFonts w:ascii="Times New Roman" w:hAnsi="Times New Roman"/>
            <w:color w:val="006fc4"/>
            <w:sz w:val="20"/>
          </w:rPr>
          <w:t>Lauren Harrington</w:t>
        </w:r>
      </w:hyperlink>
      <w:r>
        <w:rPr>
          <w:rFonts w:ascii="Times New Roman" w:hAnsi="Times New Roman"/>
          <w:color w:val="1f1f1f"/>
          <w:sz w:val="20"/>
        </w:rPr>
        <w:t xml:space="preserve">, </w:t>
      </w:r>
      <w:hyperlink r:id="r13">
        <w:r>
          <w:rPr>
            <w:rFonts w:ascii="Times New Roman" w:hAnsi="Times New Roman"/>
            <w:color w:val="006fc4"/>
            <w:sz w:val="20"/>
          </w:rPr>
          <w:t>Richard W. Warren</w:t>
        </w:r>
      </w:hyperlink>
      <w:r>
        <w:rPr>
          <w:rFonts w:ascii="Times New Roman" w:hAnsi="Times New Roman"/>
          <w:color w:val="1f1f1f"/>
          <w:sz w:val="20"/>
        </w:rPr>
        <w:t>, Ogletree Deakins Nash Smoak &amp; Stewart, PLLC, Birmingham, MI, for Defendants.</w:t>
      </w:r>
    </w:p>
    <w:bookmarkStart w:id="3" w:name="co_opinion_1"/>
    <w:bookmarkStart w:id="4" w:name="co_anchor_I29fbdfd2b96a11f0a566a868fa2b"/>
    <w:bookmarkStart w:id="5" w:name="co_anchor_I2a03cf11b96a11f0a566a868fa2b"/>
    <w:p>
      <w:pPr>
        <w:spacing w:before="600" w:after="0" w:line="275" w:lineRule="atLeast"/>
        <w:jc w:val="both"/>
      </w:pPr>
      <w:r>
        <w:rPr>
          <w:rFonts w:ascii="Times New Roman" w:hAnsi="Times New Roman"/>
          <w:b/>
          <w:color w:val="1f1f1f"/>
          <w:sz w:val="20"/>
          <w:u w:val="single" w:color="1f1f1f"/>
        </w:rPr>
        <w:t>ORDER (1) GRANTING IN PART &amp; DENYING IN PART PLAINTIFF'S AMENDED MOTION TO COMPEL DISCOVERY (ECF No. 48), (2) GRANTING IN PART &amp; DENYING IN PART PLAINTIFF'S MOTION FOR PROTECTIVE ORDER REGARDING DEFENDANTS' NOTICE OF DEPOSITION (ECF No. 49), (3) MODIFYING THE COURT'S MARCH 18, 2025 PROTECTIVE ORDER (</w:t>
      </w:r>
      <w:r>
        <w:rPr>
          <w:rFonts w:ascii="Times New Roman" w:hAnsi="Times New Roman"/>
          <w:b/>
          <w:i/>
          <w:color w:val="1f1f1f"/>
          <w:sz w:val="20"/>
          <w:u w:val="single" w:color="1f1f1f"/>
        </w:rPr>
        <w:t>see</w:t>
      </w:r>
      <w:r>
        <w:rPr>
          <w:rFonts w:ascii="Times New Roman" w:hAnsi="Times New Roman"/>
          <w:b/>
          <w:color w:val="1f1f1f"/>
          <w:sz w:val="20"/>
          <w:u w:val="single" w:color="1f1f1f"/>
        </w:rPr>
        <w:t xml:space="preserve"> ECF No. 21); (4) DIRECTING THE PARTIES TO READ </w:t>
      </w:r>
      <w:r>
        <w:rPr>
          <w:rFonts w:ascii="Times New Roman" w:hAnsi="Times New Roman"/>
          <w:b/>
          <w:i/>
          <w:color w:val="1f1f1f"/>
          <w:sz w:val="20"/>
          <w:u w:val="single" w:color="1f1f1f"/>
        </w:rPr>
        <w:t>Lee v. EUSA Pharma US LLC</w:t>
      </w:r>
      <w:r>
        <w:rPr>
          <w:rFonts w:ascii="Times New Roman" w:hAnsi="Times New Roman"/>
          <w:b/>
          <w:color w:val="1f1f1f"/>
          <w:sz w:val="20"/>
          <w:u w:val="single" w:color="1f1f1f"/>
        </w:rPr>
        <w:t xml:space="preserve">, No. 2:22-CV-11145, 2024 WL 250064 (E.D. Mich. Jan. 23, 2024); (5) DIRECTING PLAINTIFF TO READ </w:t>
      </w:r>
      <w:r>
        <w:rPr>
          <w:rFonts w:ascii="Times New Roman" w:hAnsi="Times New Roman"/>
          <w:b/>
          <w:i/>
          <w:color w:val="1f1f1f"/>
          <w:sz w:val="20"/>
          <w:u w:val="single" w:color="1f1f1f"/>
        </w:rPr>
        <w:t>Ali v. IT People Corp., Inc.</w:t>
      </w:r>
      <w:r>
        <w:rPr>
          <w:rFonts w:ascii="Times New Roman" w:hAnsi="Times New Roman"/>
          <w:b/>
          <w:color w:val="1f1f1f"/>
          <w:sz w:val="20"/>
          <w:u w:val="single" w:color="1f1f1f"/>
        </w:rPr>
        <w:t>, No. 2:25-CV-10815, 2025 WL 2682622 (E.D. Mich. Sept. 19, 2025), (6) STRIKING PLAINTIFF'S STATEMENT OF RESOLVED AND UNRESOLVED ISSUES (ECF No. 63), and (7) RECORDING THE PARTES' AGREEMENT TO ENGAGE IN MEDIATION</w:t>
      </w:r>
    </w:p>
    <w:bookmarkEnd w:id="5"/>
    <w:bookmarkEnd w:id="4"/>
    <w:bookmarkEnd w:id="3"/>
    <w:p>
      <w:pPr>
        <w:spacing w:before="400" w:after="0" w:line="275" w:lineRule="atLeast"/>
        <w:jc w:val="both"/>
      </w:pPr>
      <w:hyperlink r:id="r14">
        <w:r>
          <w:rPr>
            <w:rFonts w:ascii="Times New Roman" w:hAnsi="Times New Roman"/>
            <w:color w:val="006fc4"/>
            <w:sz w:val="20"/>
          </w:rPr>
          <w:t>Anthony P. Patti</w:t>
        </w:r>
      </w:hyperlink>
      <w:r>
        <w:rPr>
          <w:rFonts w:ascii="Times New Roman" w:hAnsi="Times New Roman"/>
          <w:color w:val="1f1f1f"/>
          <w:sz w:val="20"/>
        </w:rPr>
        <w:t>, UNITED STATES MAGISTRATE JUDGE</w:t>
      </w:r>
    </w:p>
    <w:bookmarkStart w:id="6" w:name="co_anchor_I2a044441b96a11f0a566a868fa2b"/>
    <w:bookmarkStart w:id="7" w:name="co_anchor_I2a044441b96a11f0a566a868f2"/>
    <w:p>
      <w:pPr>
        <w:spacing w:before="600" w:after="0" w:line="275" w:lineRule="atLeast"/>
        <w:jc w:val="both"/>
      </w:pPr>
      <w:r>
        <w:rPr>
          <w:rFonts w:ascii="Times New Roman" w:hAnsi="Times New Roman"/>
          <w:b/>
          <w:color w:val="1f1f1f"/>
          <w:sz w:val="20"/>
        </w:rPr>
        <w:t>A. Pending Matters</w:t>
      </w:r>
    </w:p>
    <w:bookmarkEnd w:id="7"/>
    <w:bookmarkEnd w:id="6"/>
    <w:p>
      <w:pPr>
        <w:spacing w:before="0" w:after="0" w:line="275" w:lineRule="atLeast"/>
        <w:jc w:val="both"/>
      </w:pPr>
      <w:bookmarkStart w:id="8" w:name="co_pp_sp_999_1_1"/>
      <w:r>
        <w:rPr>
          <w:rFonts w:ascii="Times New Roman" w:hAnsi="Times New Roman"/>
          <w:b/>
          <w:color w:val="000000"/>
          <w:sz w:val="20"/>
        </w:rPr>
        <w:t>*1</w:t>
      </w:r>
      <w:bookmarkEnd w:id="8"/>
      <w:r>
        <w:rPr>
          <w:rFonts w:ascii="Times New Roman" w:hAnsi="Times New Roman"/>
          <w:color w:val="1f1f1f"/>
          <w:sz w:val="20"/>
        </w:rPr>
        <w:t xml:space="preserve"> Currently pending before the Court are: (1) Plaintiff's amended motion to compel discovery (ECF No. 48), as to which a response (ECF No. 59) and a reply (ECF No. 61) have been filed; and, (2) Plaintiff's motion for protective order regarding Defendants' notice of deposition (ECF No. 49), as to which a response (ECF No. 60) and a reply (ECF No. 62) have been filed.</w:t>
      </w:r>
      <w:bookmarkStart w:id="9" w:name="co_fnRef_B00012058269720_ID0ENCAC_1"/>
      <w:hyperlink w:anchor="co_footnote_B00012058269720_1">
        <w:r>
          <w:rPr>
            <w:rFonts w:ascii="Times New Roman" w:hAnsi="Times New Roman"/>
            <w:color w:val="006fc4"/>
            <w:sz w:val="16"/>
            <w:vertAlign w:val="superscript"/>
          </w:rPr>
          <w:t>1</w:t>
        </w:r>
      </w:hyperlink>
      <w:bookmarkEnd w:id="9"/>
      <w:r>
        <w:rPr>
          <w:rFonts w:ascii="Times New Roman" w:hAnsi="Times New Roman"/>
          <w:color w:val="1f1f1f"/>
          <w:sz w:val="20"/>
        </w:rPr>
        <w:t xml:space="preserve"> Additionally, the parties have filed separate statements of resolved and unresolved issues. (</w:t>
      </w:r>
      <w:r>
        <w:rPr>
          <w:rFonts w:ascii="Times New Roman" w:hAnsi="Times New Roman"/>
          <w:i/>
          <w:color w:val="1f1f1f"/>
          <w:sz w:val="20"/>
        </w:rPr>
        <w:t>See</w:t>
      </w:r>
      <w:r>
        <w:rPr>
          <w:rFonts w:ascii="Times New Roman" w:hAnsi="Times New Roman"/>
          <w:color w:val="1f1f1f"/>
          <w:sz w:val="20"/>
        </w:rPr>
        <w:t xml:space="preserve"> ECF Nos. 63, 64.)</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Judge Drain has referred each of these motions to me for hearing and determination (ECF No. 50).</w:t>
      </w:r>
    </w:p>
    <w:p>
      <w:pPr>
        <w:spacing w:before="0" w:after="0" w:line="275" w:lineRule="atLeast"/>
        <w:jc w:val="both"/>
      </w:pPr>
      <w:r>
        <w:rPr>
          <w:rFonts w:ascii="Times New Roman" w:hAnsi="Times New Roman"/>
          <w:color w:val="1f1f1f"/>
          <w:sz w:val="20"/>
        </w:rPr>
        <w:t> </w:t>
      </w:r>
    </w:p>
    <w:bookmarkStart w:id="10" w:name="co_anchor_I2a057cc1b96a11f0a566a868fa2b"/>
    <w:bookmarkStart w:id="11" w:name="co_anchor_I2a057cc1b96a11f0a566a868f2"/>
    <w:p>
      <w:pPr>
        <w:spacing w:before="400" w:after="0" w:line="275" w:lineRule="atLeast"/>
        <w:jc w:val="both"/>
      </w:pPr>
      <w:r>
        <w:rPr>
          <w:rFonts w:ascii="Times New Roman" w:hAnsi="Times New Roman"/>
          <w:b/>
          <w:color w:val="1f1f1f"/>
          <w:sz w:val="20"/>
        </w:rPr>
        <w:t>B. The September 26, 2025 Status Conference</w:t>
      </w:r>
    </w:p>
    <w:bookmarkEnd w:id="11"/>
    <w:bookmarkEnd w:id="10"/>
    <w:p>
      <w:pPr>
        <w:spacing w:before="0" w:after="0" w:line="275" w:lineRule="atLeast"/>
        <w:jc w:val="both"/>
      </w:pPr>
      <w:r>
        <w:rPr>
          <w:rFonts w:ascii="Times New Roman" w:hAnsi="Times New Roman"/>
          <w:color w:val="1f1f1f"/>
          <w:sz w:val="20"/>
        </w:rPr>
        <w:t xml:space="preserve">Pursuant to the Court's September 26, 2025 order (ECF No. 56), the parties – Plaintiff Sohyon Warner appeared </w:t>
      </w:r>
      <w:r>
        <w:rPr>
          <w:rFonts w:ascii="Times New Roman" w:hAnsi="Times New Roman"/>
          <w:i/>
          <w:color w:val="1f1f1f"/>
          <w:sz w:val="20"/>
        </w:rPr>
        <w:t>in pro per</w:t>
      </w:r>
      <w:r>
        <w:rPr>
          <w:rFonts w:ascii="Times New Roman" w:hAnsi="Times New Roman"/>
          <w:color w:val="1f1f1f"/>
          <w:sz w:val="20"/>
        </w:rPr>
        <w:t>, and Attorneys Richard Warren and Lauren Harrington appeared on behalf of Defendants – appeared remotely on October 28, 2025 for a video motion hearing.</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Preliminarily, the Court confirmed that Defendants produced a privilege log on October 1, 2025 (</w:t>
      </w:r>
      <w:r>
        <w:rPr>
          <w:rFonts w:ascii="Times New Roman" w:hAnsi="Times New Roman"/>
          <w:i/>
          <w:color w:val="1f1f1f"/>
          <w:sz w:val="20"/>
        </w:rPr>
        <w:t>see</w:t>
      </w:r>
      <w:r>
        <w:rPr>
          <w:rFonts w:ascii="Times New Roman" w:hAnsi="Times New Roman"/>
          <w:color w:val="1f1f1f"/>
          <w:sz w:val="20"/>
        </w:rPr>
        <w:t xml:space="preserve"> ECF No. 59, PageID.411-412; ECF No. 64, PageID.584; ECF No. 64-5) and that the parties met by video conference no later than October 24, 2025, as required by the Court's September 26, 2025 order.</w:t>
      </w:r>
      <w:bookmarkStart w:id="12" w:name="co_fnRef_B00022058269720_ID0EVEAC_1"/>
      <w:hyperlink w:anchor="co_footnote_B00022058269720_1">
        <w:r>
          <w:rPr>
            <w:rFonts w:ascii="Times New Roman" w:hAnsi="Times New Roman"/>
            <w:color w:val="006fc4"/>
            <w:sz w:val="16"/>
            <w:vertAlign w:val="superscript"/>
          </w:rPr>
          <w:t>2</w:t>
        </w:r>
      </w:hyperlink>
      <w:bookmarkEnd w:id="12"/>
    </w:p>
    <w:p>
      <w:pPr>
        <w:spacing w:before="0" w:after="0" w:line="275" w:lineRule="atLeast"/>
        <w:jc w:val="both"/>
      </w:pPr>
      <w:r>
        <w:rPr>
          <w:rFonts w:ascii="Times New Roman" w:hAnsi="Times New Roman"/>
          <w:color w:val="1f1f1f"/>
          <w:sz w:val="20"/>
        </w:rPr>
        <w:t> </w:t>
      </w:r>
    </w:p>
    <w:bookmarkStart w:id="13" w:name="co_anchor_I2a06b541b96a11f0a566a868fa2b"/>
    <w:bookmarkStart w:id="14" w:name="co_anchor_I2a06b541b96a11f0a566a868f2"/>
    <w:p>
      <w:pPr>
        <w:spacing w:before="400" w:after="0" w:line="275" w:lineRule="atLeast"/>
        <w:jc w:val="both"/>
      </w:pPr>
      <w:r>
        <w:rPr>
          <w:rFonts w:ascii="Times New Roman" w:hAnsi="Times New Roman"/>
          <w:b/>
          <w:color w:val="1f1f1f"/>
          <w:sz w:val="20"/>
        </w:rPr>
        <w:t>C. Order</w:t>
      </w:r>
    </w:p>
    <w:bookmarkEnd w:id="14"/>
    <w:bookmarkEnd w:id="13"/>
    <w:p>
      <w:pPr>
        <w:spacing w:before="0" w:after="0" w:line="275" w:lineRule="atLeast"/>
        <w:jc w:val="both"/>
      </w:pPr>
      <w:r>
        <w:rPr>
          <w:rFonts w:ascii="Times New Roman" w:hAnsi="Times New Roman"/>
          <w:color w:val="1f1f1f"/>
          <w:sz w:val="20"/>
        </w:rPr>
        <w:t xml:space="preserve">Upon consideration of the motion papers and the parties' arguments and representations at the hearing, and for all the reasons stated on the record by the Court, </w:t>
      </w:r>
      <w:r>
        <w:rPr>
          <w:rFonts w:ascii="Times New Roman" w:hAnsi="Times New Roman"/>
          <w:color w:val="1f1f1f"/>
          <w:sz w:val="20"/>
          <w:u w:val="single" w:color="1f1f1f"/>
        </w:rPr>
        <w:t>which are hereby incorporated by reference as though fully restated herein</w:t>
      </w:r>
      <w:r>
        <w:rPr>
          <w:rFonts w:ascii="Times New Roman" w:hAnsi="Times New Roman"/>
          <w:color w:val="1f1f1f"/>
          <w:sz w:val="20"/>
        </w:rPr>
        <w:t xml:space="preserve">, Plaintiff's amended motion to compel discovery (ECF No. 48) is </w:t>
      </w:r>
      <w:r>
        <w:rPr>
          <w:rFonts w:ascii="Times New Roman" w:hAnsi="Times New Roman"/>
          <w:b/>
          <w:color w:val="1f1f1f"/>
          <w:sz w:val="20"/>
        </w:rPr>
        <w:t>GRANTED IN PART AND DENIED IN PART</w:t>
      </w:r>
      <w:r>
        <w:rPr>
          <w:rFonts w:ascii="Times New Roman" w:hAnsi="Times New Roman"/>
          <w:color w:val="1f1f1f"/>
          <w:sz w:val="20"/>
        </w:rPr>
        <w:t xml:space="preserve"> as follows:</w:t>
      </w:r>
    </w:p>
    <w:p>
      <w:pPr>
        <w:spacing w:before="200" w:after="0" w:line="275" w:lineRule="atLeast"/>
        <w:ind w:left="400" w:right="0" w:hanging="200"/>
        <w:jc w:val="both"/>
      </w:pPr>
      <w:r>
        <w:rPr>
          <w:rFonts w:ascii="Times New Roman" w:hAnsi="Times New Roman"/>
          <w:b/>
          <w:color w:val="1f1f1f"/>
          <w:sz w:val="20"/>
        </w:rPr>
        <w:t>1.</w:t>
      </w:r>
      <w:r>
        <w:rPr>
          <w:rFonts w:ascii="Times New Roman" w:hAnsi="Times New Roman"/>
          <w:color w:val="1f1f1f"/>
          <w:sz w:val="20"/>
        </w:rPr>
        <w:t xml:space="preserve"> Plaintiff's request for an order compelling “Defendants to produce full responses to Plaintiff's March 3, 2025 discovery requests, as outlined in Exhibit A [</w:t>
      </w:r>
      <w:r>
        <w:rPr>
          <w:rFonts w:ascii="Times New Roman" w:hAnsi="Times New Roman"/>
          <w:i/>
          <w:color w:val="1f1f1f"/>
          <w:sz w:val="20"/>
        </w:rPr>
        <w:t>i.e.</w:t>
      </w:r>
      <w:r>
        <w:rPr>
          <w:rFonts w:ascii="Times New Roman" w:hAnsi="Times New Roman"/>
          <w:color w:val="1f1f1f"/>
          <w:sz w:val="20"/>
        </w:rPr>
        <w:t>, ECF No. 48-1], including comparator personnel files, HR investigation files, training manuals, termination memos, internal communications, and related materials[,]”</w:t>
      </w:r>
      <w:r>
        <w:rPr>
          <w:rFonts w:ascii="Times New Roman" w:hAnsi="Times New Roman"/>
          <w:color w:val="1f1f1f"/>
          <w:sz w:val="20"/>
        </w:rPr>
        <w:t xml:space="preserve"> is </w:t>
      </w:r>
      <w:r>
        <w:rPr>
          <w:rFonts w:ascii="Times New Roman" w:hAnsi="Times New Roman"/>
          <w:b/>
          <w:color w:val="1f1f1f"/>
          <w:sz w:val="20"/>
        </w:rPr>
        <w:t>GRANTED IN PART</w:t>
      </w:r>
      <w:r>
        <w:rPr>
          <w:rFonts w:ascii="Times New Roman" w:hAnsi="Times New Roman"/>
          <w:color w:val="1f1f1f"/>
          <w:sz w:val="20"/>
        </w:rPr>
        <w:t xml:space="preserve">. Defendants' reluctance to produce certain records – </w:t>
      </w:r>
      <w:r>
        <w:rPr>
          <w:rFonts w:ascii="Times New Roman" w:hAnsi="Times New Roman"/>
          <w:i/>
          <w:color w:val="1f1f1f"/>
          <w:sz w:val="20"/>
        </w:rPr>
        <w:t>e.g.</w:t>
      </w:r>
      <w:r>
        <w:rPr>
          <w:rFonts w:ascii="Times New Roman" w:hAnsi="Times New Roman"/>
          <w:color w:val="1f1f1f"/>
          <w:sz w:val="20"/>
        </w:rPr>
        <w:t xml:space="preserve">, those related to Shawn McClellan (in response to RFP No. 4) or to Paul Blaser (in response to RTP No. 5), or to the three people involved in her termination (in response to Int. No. 7 &amp; RFP No. 3) – relates to concerns that the information will be uploaded to an AI platform. For the reasons set forth on the record, </w:t>
      </w:r>
      <w:r>
        <w:rPr>
          <w:rFonts w:ascii="Times New Roman" w:hAnsi="Times New Roman"/>
          <w:color w:val="1f1f1f"/>
          <w:sz w:val="20"/>
          <w:u w:val="single" w:color="1f1f1f"/>
        </w:rPr>
        <w:t xml:space="preserve">the Court's March 18, 2025 </w:t>
      </w:r>
      <w:hyperlink r:id="r15">
        <w:r>
          <w:rPr>
            <w:rFonts w:ascii="Times New Roman" w:hAnsi="Times New Roman"/>
            <w:color w:val="006fc4"/>
            <w:sz w:val="20"/>
            <w:u w:val="single" w:color="1f1f1f"/>
          </w:rPr>
          <w:t>Fed. R. Civ. P. 26(c)</w:t>
        </w:r>
      </w:hyperlink>
      <w:r>
        <w:rPr>
          <w:rFonts w:ascii="Times New Roman" w:hAnsi="Times New Roman"/>
          <w:color w:val="1f1f1f"/>
          <w:sz w:val="20"/>
          <w:u w:val="single" w:color="1f1f1f"/>
        </w:rPr>
        <w:t xml:space="preserve"> protective order (ECF No. 21) is hereby modified to reflect that any documents marked confidential shall not be uploaded onto any AI platform</w:t>
      </w:r>
      <w:r>
        <w:rPr>
          <w:rFonts w:ascii="Times New Roman" w:hAnsi="Times New Roman"/>
          <w:color w:val="1f1f1f"/>
          <w:sz w:val="20"/>
        </w:rPr>
        <w:t xml:space="preserve">. No later than Friday, </w:t>
      </w:r>
      <w:r>
        <w:rPr>
          <w:rFonts w:ascii="Times New Roman" w:hAnsi="Times New Roman"/>
          <w:b/>
          <w:color w:val="1f1f1f"/>
          <w:sz w:val="20"/>
        </w:rPr>
        <w:t>November 7, 2025</w:t>
      </w:r>
      <w:r>
        <w:rPr>
          <w:rFonts w:ascii="Times New Roman" w:hAnsi="Times New Roman"/>
          <w:color w:val="1f1f1f"/>
          <w:sz w:val="20"/>
        </w:rPr>
        <w:t xml:space="preserve">, Defendants </w:t>
      </w:r>
      <w:r>
        <w:rPr>
          <w:rFonts w:ascii="Times New Roman" w:hAnsi="Times New Roman"/>
          <w:b/>
          <w:color w:val="1f1f1f"/>
          <w:sz w:val="20"/>
        </w:rPr>
        <w:t>SHALL</w:t>
      </w:r>
      <w:r>
        <w:rPr>
          <w:rFonts w:ascii="Times New Roman" w:hAnsi="Times New Roman"/>
          <w:color w:val="1f1f1f"/>
          <w:sz w:val="20"/>
        </w:rPr>
        <w:t xml:space="preserve"> produce these records.</w:t>
      </w:r>
      <w:bookmarkStart w:id="15" w:name="co_fnRef_B00032058269720_ID0E5HAC_1"/>
      <w:hyperlink w:anchor="co_footnote_B00032058269720_1">
        <w:r>
          <w:rPr>
            <w:rFonts w:ascii="Times New Roman" w:hAnsi="Times New Roman"/>
            <w:color w:val="006fc4"/>
            <w:sz w:val="16"/>
            <w:vertAlign w:val="superscript"/>
          </w:rPr>
          <w:t>3</w:t>
        </w:r>
      </w:hyperlink>
      <w:bookmarkEnd w:id="15"/>
    </w:p>
    <w:p>
      <w:pPr>
        <w:spacing w:before="200" w:after="0" w:line="275" w:lineRule="atLeast"/>
        <w:ind w:left="400" w:right="0" w:hanging="200"/>
        <w:jc w:val="both"/>
      </w:pPr>
      <w:bookmarkStart w:id="16" w:name="co_pp_sp_999_2_1"/>
      <w:r>
        <w:rPr>
          <w:rFonts w:ascii="Times New Roman" w:hAnsi="Times New Roman"/>
          <w:b/>
          <w:color w:val="000000"/>
          <w:sz w:val="20"/>
        </w:rPr>
        <w:t>*2</w:t>
      </w:r>
      <w:bookmarkEnd w:id="16"/>
      <w:r>
        <w:rPr>
          <w:rFonts w:ascii="Times New Roman" w:hAnsi="Times New Roman"/>
          <w:color w:val="1f1f1f"/>
          <w:sz w:val="20"/>
        </w:rPr>
        <w:t xml:space="preserve"> </w:t>
      </w:r>
      <w:r>
        <w:rPr>
          <w:rFonts w:ascii="Times New Roman" w:hAnsi="Times New Roman"/>
          <w:b/>
          <w:color w:val="1f1f1f"/>
          <w:sz w:val="20"/>
        </w:rPr>
        <w:t>2.</w:t>
      </w:r>
      <w:r>
        <w:rPr>
          <w:rFonts w:ascii="Times New Roman" w:hAnsi="Times New Roman"/>
          <w:color w:val="1f1f1f"/>
          <w:sz w:val="20"/>
        </w:rPr>
        <w:t xml:space="preserve"> Further, although not addressed from the bench, the Court agrees with Plaintiff that Defendants may not wait to produce documents or other requested evidence they </w:t>
      </w:r>
      <w:r>
        <w:rPr>
          <w:rFonts w:ascii="Times New Roman" w:hAnsi="Times New Roman"/>
          <w:i/>
          <w:color w:val="1f1f1f"/>
          <w:sz w:val="20"/>
        </w:rPr>
        <w:t>already know</w:t>
      </w:r>
      <w:r>
        <w:rPr>
          <w:rFonts w:ascii="Times New Roman" w:hAnsi="Times New Roman"/>
          <w:color w:val="1f1f1f"/>
          <w:sz w:val="20"/>
        </w:rPr>
        <w:t xml:space="preserve"> they “intend to rely upon in support of [their] defense in this case[,]” as requested in RTP No. 20. (ECF No. 48-3, PageID.330.) Defendants must produce any such items of which they are </w:t>
      </w:r>
      <w:r>
        <w:rPr>
          <w:rFonts w:ascii="Times New Roman" w:hAnsi="Times New Roman"/>
          <w:i/>
          <w:color w:val="1f1f1f"/>
          <w:sz w:val="20"/>
        </w:rPr>
        <w:t>presently aware</w:t>
      </w:r>
      <w:r>
        <w:rPr>
          <w:rFonts w:ascii="Times New Roman" w:hAnsi="Times New Roman"/>
          <w:color w:val="1f1f1f"/>
          <w:sz w:val="20"/>
        </w:rPr>
        <w:t xml:space="preserve">, and must do so by </w:t>
      </w:r>
      <w:r>
        <w:rPr>
          <w:rFonts w:ascii="Times New Roman" w:hAnsi="Times New Roman"/>
          <w:b/>
          <w:color w:val="1f1f1f"/>
          <w:sz w:val="20"/>
        </w:rPr>
        <w:t>November 21, 2025</w:t>
      </w:r>
      <w:r>
        <w:rPr>
          <w:rFonts w:ascii="Times New Roman" w:hAnsi="Times New Roman"/>
          <w:color w:val="1f1f1f"/>
          <w:sz w:val="20"/>
        </w:rPr>
        <w:t xml:space="preserve">, supplementing as required by </w:t>
      </w:r>
      <w:hyperlink r:id="r16">
        <w:r>
          <w:rPr>
            <w:rFonts w:ascii="Times New Roman" w:hAnsi="Times New Roman"/>
            <w:color w:val="006fc4"/>
            <w:sz w:val="20"/>
          </w:rPr>
          <w:t>Fed. R. Civ. P. 26(e)</w:t>
        </w:r>
      </w:hyperlink>
      <w:r>
        <w:rPr>
          <w:rFonts w:ascii="Times New Roman" w:hAnsi="Times New Roman"/>
          <w:color w:val="1f1f1f"/>
          <w:sz w:val="20"/>
        </w:rPr>
        <w:t xml:space="preserve">, if and when they became aware of additional responsive documents. The Court will hold Defendants to their representation that they “will not rely on any document at trial that will not be produced during the discovery period” (ECF No. 59, PageID.408); however, the Court also recognizes that Defendants may not know of the need to introduce documents or other evidence </w:t>
      </w:r>
      <w:r>
        <w:rPr>
          <w:rFonts w:ascii="Times New Roman" w:hAnsi="Times New Roman"/>
          <w:i/>
          <w:color w:val="1f1f1f"/>
          <w:sz w:val="20"/>
        </w:rPr>
        <w:t>for impeachment purposes</w:t>
      </w:r>
      <w:r>
        <w:rPr>
          <w:rFonts w:ascii="Times New Roman" w:hAnsi="Times New Roman"/>
          <w:color w:val="1f1f1f"/>
          <w:sz w:val="20"/>
        </w:rPr>
        <w:t xml:space="preserve"> until the need arises, and, thus, excludes such documents from this requirement.</w:t>
      </w:r>
    </w:p>
    <w:p>
      <w:pPr>
        <w:spacing w:before="200" w:after="0" w:line="275" w:lineRule="atLeast"/>
        <w:ind w:left="400" w:right="0" w:hanging="200"/>
        <w:jc w:val="both"/>
      </w:pPr>
      <w:r>
        <w:rPr>
          <w:rFonts w:ascii="Times New Roman" w:hAnsi="Times New Roman"/>
          <w:b/>
          <w:color w:val="1f1f1f"/>
          <w:sz w:val="20"/>
        </w:rPr>
        <w:t>3.</w:t>
      </w:r>
      <w:r>
        <w:rPr>
          <w:rFonts w:ascii="Times New Roman" w:hAnsi="Times New Roman"/>
          <w:color w:val="1f1f1f"/>
          <w:sz w:val="20"/>
        </w:rPr>
        <w:t xml:space="preserve"> Plaintiff's request for an order compelling “Defendants to produce a proper privilege log pursuant to </w:t>
      </w:r>
      <w:hyperlink r:id="r17">
        <w:r>
          <w:rPr>
            <w:rFonts w:ascii="Times New Roman" w:hAnsi="Times New Roman"/>
            <w:color w:val="006fc4"/>
            <w:sz w:val="20"/>
          </w:rPr>
          <w:t>Fed. R. Civ. P. 26(b)(5)(A)</w:t>
        </w:r>
      </w:hyperlink>
      <w:r>
        <w:rPr>
          <w:rFonts w:ascii="Times New Roman" w:hAnsi="Times New Roman"/>
          <w:color w:val="1f1f1f"/>
          <w:sz w:val="20"/>
        </w:rPr>
        <w:t xml:space="preserve"> and deem privilege objections waived if not produced[,]” is </w:t>
      </w:r>
      <w:r>
        <w:rPr>
          <w:rFonts w:ascii="Times New Roman" w:hAnsi="Times New Roman"/>
          <w:b/>
          <w:color w:val="1f1f1f"/>
          <w:sz w:val="20"/>
        </w:rPr>
        <w:t>GRANTED IN PART</w:t>
      </w:r>
      <w:r>
        <w:rPr>
          <w:rFonts w:ascii="Times New Roman" w:hAnsi="Times New Roman"/>
          <w:color w:val="1f1f1f"/>
          <w:sz w:val="20"/>
        </w:rPr>
        <w:t>. The Court notes defense counsel's representation that his client was concerned about litigation at least as early as October 10, 2022, as well as Plaintiff's concerns with the October 1, 2025 privilege log (</w:t>
      </w:r>
      <w:r>
        <w:rPr>
          <w:rFonts w:ascii="Times New Roman" w:hAnsi="Times New Roman"/>
          <w:i/>
          <w:color w:val="1f1f1f"/>
          <w:sz w:val="20"/>
        </w:rPr>
        <w:t>see</w:t>
      </w:r>
      <w:r>
        <w:rPr>
          <w:rFonts w:ascii="Times New Roman" w:hAnsi="Times New Roman"/>
          <w:color w:val="1f1f1f"/>
          <w:sz w:val="20"/>
        </w:rPr>
        <w:t xml:space="preserve"> ECF No. 64-5; ECF No. 61-2, PageID.441-444), and also notes that it is Defendants' burden to demonstrate its assertion of attorney client privilege and work product doctrine. Because Defendants are withholding two investigation reports (23-005, 22-119) on the basis of attorney-client privilege and/or work product doctrine (</w:t>
      </w:r>
      <w:r>
        <w:rPr>
          <w:rFonts w:ascii="Times New Roman" w:hAnsi="Times New Roman"/>
          <w:i/>
          <w:color w:val="1f1f1f"/>
          <w:sz w:val="20"/>
        </w:rPr>
        <w:t>see</w:t>
      </w:r>
      <w:r>
        <w:rPr>
          <w:rFonts w:ascii="Times New Roman" w:hAnsi="Times New Roman"/>
          <w:color w:val="1f1f1f"/>
          <w:sz w:val="20"/>
        </w:rPr>
        <w:t xml:space="preserve"> ECF No. 64-5, PageID.611-612), no later than </w:t>
      </w:r>
      <w:r>
        <w:rPr>
          <w:rFonts w:ascii="Times New Roman" w:hAnsi="Times New Roman"/>
          <w:b/>
          <w:color w:val="1f1f1f"/>
          <w:sz w:val="20"/>
        </w:rPr>
        <w:t>Friday, November 7, 2025</w:t>
      </w:r>
      <w:r>
        <w:rPr>
          <w:rFonts w:ascii="Times New Roman" w:hAnsi="Times New Roman"/>
          <w:color w:val="1f1f1f"/>
          <w:sz w:val="20"/>
        </w:rPr>
        <w:t xml:space="preserve">, the parties are </w:t>
      </w:r>
      <w:r>
        <w:rPr>
          <w:rFonts w:ascii="Times New Roman" w:hAnsi="Times New Roman"/>
          <w:b/>
          <w:color w:val="1f1f1f"/>
          <w:sz w:val="20"/>
        </w:rPr>
        <w:t>DIRECTED</w:t>
      </w:r>
      <w:r>
        <w:rPr>
          <w:rFonts w:ascii="Times New Roman" w:hAnsi="Times New Roman"/>
          <w:color w:val="1f1f1f"/>
          <w:sz w:val="20"/>
        </w:rPr>
        <w:t xml:space="preserve"> to read </w:t>
      </w:r>
      <w:hyperlink r:id="r18">
        <w:r>
          <w:rPr>
            <w:rFonts w:ascii="Times New Roman" w:hAnsi="Times New Roman"/>
            <w:i/>
            <w:color w:val="006fc4"/>
            <w:sz w:val="20"/>
          </w:rPr>
          <w:t>Lee v. EUSA Pharma US LLC</w:t>
        </w:r>
        <w:r>
          <w:rPr>
            <w:rFonts w:ascii="Times New Roman" w:hAnsi="Times New Roman"/>
            <w:color w:val="006fc4"/>
            <w:sz w:val="20"/>
          </w:rPr>
          <w:t>, No. 2:22-CV-11145, 2024 WL 250064 (E.D. Mich. Jan. 23, 2024)</w:t>
        </w:r>
      </w:hyperlink>
      <w:r>
        <w:rPr>
          <w:rFonts w:ascii="Times New Roman" w:hAnsi="Times New Roman"/>
          <w:color w:val="1f1f1f"/>
          <w:sz w:val="20"/>
        </w:rPr>
        <w:t xml:space="preserve"> (Patti, M.J.) (order after </w:t>
      </w:r>
      <w:r>
        <w:rPr>
          <w:rFonts w:ascii="Times New Roman" w:hAnsi="Times New Roman"/>
          <w:i/>
          <w:color w:val="1f1f1f"/>
          <w:sz w:val="20"/>
        </w:rPr>
        <w:t>in camera</w:t>
      </w:r>
      <w:r>
        <w:rPr>
          <w:rFonts w:ascii="Times New Roman" w:hAnsi="Times New Roman"/>
          <w:color w:val="1f1f1f"/>
          <w:sz w:val="20"/>
        </w:rPr>
        <w:t xml:space="preserve"> review) and then confer in an effort to come to an agreement based on the law, as applied to the facts of this case. Plaintiff's request for a finding that Defendants waived their privileges is </w:t>
      </w:r>
      <w:r>
        <w:rPr>
          <w:rFonts w:ascii="Times New Roman" w:hAnsi="Times New Roman"/>
          <w:b/>
          <w:color w:val="1f1f1f"/>
          <w:sz w:val="20"/>
        </w:rPr>
        <w:t>DENIED</w:t>
      </w:r>
      <w:r>
        <w:rPr>
          <w:rFonts w:ascii="Times New Roman" w:hAnsi="Times New Roman"/>
          <w:color w:val="1f1f1f"/>
          <w:sz w:val="20"/>
        </w:rPr>
        <w:t>, as the Court dealt with this issue in the September 26, 2025 status conference by setting an October 1, 2025 deadline for a privilege log (</w:t>
      </w:r>
      <w:r>
        <w:rPr>
          <w:rFonts w:ascii="Times New Roman" w:hAnsi="Times New Roman"/>
          <w:i/>
          <w:color w:val="1f1f1f"/>
          <w:sz w:val="20"/>
        </w:rPr>
        <w:t>see</w:t>
      </w:r>
      <w:r>
        <w:rPr>
          <w:rFonts w:ascii="Times New Roman" w:hAnsi="Times New Roman"/>
          <w:color w:val="1f1f1f"/>
          <w:sz w:val="20"/>
        </w:rPr>
        <w:t xml:space="preserve"> ECF No. 56, PageID.382), and Defendants not only timely responded on March 3, 2025 to the discovery requests at issue (</w:t>
      </w:r>
      <w:r>
        <w:rPr>
          <w:rFonts w:ascii="Times New Roman" w:hAnsi="Times New Roman"/>
          <w:i/>
          <w:color w:val="1f1f1f"/>
          <w:sz w:val="20"/>
        </w:rPr>
        <w:t>see</w:t>
      </w:r>
      <w:r>
        <w:rPr>
          <w:rFonts w:ascii="Times New Roman" w:hAnsi="Times New Roman"/>
          <w:color w:val="1f1f1f"/>
          <w:sz w:val="20"/>
        </w:rPr>
        <w:t xml:space="preserve"> ECF No. 59, PageID.411 n.2) but also timely complied with the Court's directive to serve a privilege log (</w:t>
      </w:r>
      <w:r>
        <w:rPr>
          <w:rFonts w:ascii="Times New Roman" w:hAnsi="Times New Roman"/>
          <w:i/>
          <w:color w:val="1f1f1f"/>
          <w:sz w:val="20"/>
        </w:rPr>
        <w:t xml:space="preserve">see </w:t>
      </w:r>
      <w:r>
        <w:rPr>
          <w:rFonts w:ascii="Times New Roman" w:hAnsi="Times New Roman"/>
          <w:i/>
          <w:color w:val="1f1f1f"/>
          <w:sz w:val="20"/>
        </w:rPr>
        <w:t>id.</w:t>
      </w:r>
      <w:r>
        <w:rPr>
          <w:rFonts w:ascii="Times New Roman" w:hAnsi="Times New Roman"/>
          <w:color w:val="1f1f1f"/>
          <w:sz w:val="20"/>
        </w:rPr>
        <w:t xml:space="preserve">, PageID.412). Defendants are correct that there is no </w:t>
      </w:r>
      <w:r>
        <w:rPr>
          <w:rFonts w:ascii="Times New Roman" w:hAnsi="Times New Roman"/>
          <w:i/>
          <w:color w:val="1f1f1f"/>
          <w:sz w:val="20"/>
        </w:rPr>
        <w:t>mandatory</w:t>
      </w:r>
      <w:r>
        <w:rPr>
          <w:rFonts w:ascii="Times New Roman" w:hAnsi="Times New Roman"/>
          <w:color w:val="1f1f1f"/>
          <w:sz w:val="20"/>
        </w:rPr>
        <w:t xml:space="preserve"> rule requiring waiver for failure to provide a privilege log by the deadline for responding to discovery requests, the Court having discretion on this issue, as acknowledged by Plaintiff's own citation to </w:t>
      </w:r>
      <w:hyperlink r:id="r19">
        <w:r>
          <w:rPr>
            <w:rFonts w:ascii="Times New Roman" w:hAnsi="Times New Roman"/>
            <w:i/>
            <w:color w:val="006fc4"/>
            <w:sz w:val="20"/>
          </w:rPr>
          <w:t>In re Columbia/HCA Healthcare Corp. Billing Practices Litig.</w:t>
        </w:r>
        <w:r>
          <w:rPr>
            <w:rFonts w:ascii="Times New Roman" w:hAnsi="Times New Roman"/>
            <w:color w:val="006fc4"/>
            <w:sz w:val="20"/>
          </w:rPr>
          <w:t>, 293 F.3d 289, 303–04 (6th Cir. 2002)</w:t>
        </w:r>
      </w:hyperlink>
      <w:r>
        <w:rPr>
          <w:rFonts w:ascii="Times New Roman" w:hAnsi="Times New Roman"/>
          <w:color w:val="1f1f1f"/>
          <w:sz w:val="20"/>
        </w:rPr>
        <w:t xml:space="preserve"> for the idea that “blanket privilege assertions without log are defective and </w:t>
      </w:r>
      <w:r>
        <w:rPr>
          <w:rFonts w:ascii="Times New Roman" w:hAnsi="Times New Roman"/>
          <w:i/>
          <w:color w:val="1f1f1f"/>
          <w:sz w:val="20"/>
        </w:rPr>
        <w:t>may</w:t>
      </w:r>
      <w:r>
        <w:rPr>
          <w:rFonts w:ascii="Times New Roman" w:hAnsi="Times New Roman"/>
          <w:color w:val="1f1f1f"/>
          <w:sz w:val="20"/>
        </w:rPr>
        <w:t xml:space="preserve"> constitute waiver[.]” (ECF No. 48, PageID.316 (emphasis added); </w:t>
      </w:r>
      <w:r>
        <w:rPr>
          <w:rFonts w:ascii="Times New Roman" w:hAnsi="Times New Roman"/>
          <w:i/>
          <w:color w:val="1f1f1f"/>
          <w:sz w:val="20"/>
        </w:rPr>
        <w:t xml:space="preserve">see also </w:t>
      </w:r>
      <w:r>
        <w:rPr>
          <w:rFonts w:ascii="Times New Roman" w:hAnsi="Times New Roman"/>
          <w:i/>
          <w:color w:val="1f1f1f"/>
          <w:sz w:val="20"/>
        </w:rPr>
        <w:t>id.</w:t>
      </w:r>
      <w:r>
        <w:rPr>
          <w:rFonts w:ascii="Times New Roman" w:hAnsi="Times New Roman"/>
          <w:color w:val="1f1f1f"/>
          <w:sz w:val="20"/>
        </w:rPr>
        <w:t>, PageID.318.)</w:t>
      </w:r>
    </w:p>
    <w:p>
      <w:pPr>
        <w:spacing w:before="200" w:after="0" w:line="275" w:lineRule="atLeast"/>
        <w:ind w:left="400" w:right="0" w:hanging="200"/>
        <w:jc w:val="both"/>
      </w:pPr>
      <w:r>
        <w:rPr>
          <w:rFonts w:ascii="Times New Roman" w:hAnsi="Times New Roman"/>
          <w:b/>
          <w:color w:val="1f1f1f"/>
          <w:sz w:val="20"/>
        </w:rPr>
        <w:t>4.</w:t>
      </w:r>
      <w:r>
        <w:rPr>
          <w:rFonts w:ascii="Times New Roman" w:hAnsi="Times New Roman"/>
          <w:color w:val="1f1f1f"/>
          <w:sz w:val="20"/>
        </w:rPr>
        <w:t xml:space="preserve"> Plaintiff's request for an order requiring “Defendants to comply with </w:t>
      </w:r>
      <w:hyperlink r:id="r20">
        <w:r>
          <w:rPr>
            <w:rFonts w:ascii="Times New Roman" w:hAnsi="Times New Roman"/>
            <w:color w:val="006fc4"/>
            <w:sz w:val="20"/>
          </w:rPr>
          <w:t>Fed. R. Civ. P. 34(b)(2)(E)</w:t>
        </w:r>
      </w:hyperlink>
      <w:r>
        <w:rPr>
          <w:rFonts w:ascii="Times New Roman" w:hAnsi="Times New Roman"/>
          <w:color w:val="1f1f1f"/>
          <w:sz w:val="20"/>
        </w:rPr>
        <w:t xml:space="preserve"> by re-producing documents in an organized manner, eliminating duplicative Bates ranges, and labeling materials to correspond to Plaintiff's RFPs[,]” is </w:t>
      </w:r>
      <w:r>
        <w:rPr>
          <w:rFonts w:ascii="Times New Roman" w:hAnsi="Times New Roman"/>
          <w:b/>
          <w:color w:val="1f1f1f"/>
          <w:sz w:val="20"/>
        </w:rPr>
        <w:t>GRANTED IN PART</w:t>
      </w:r>
      <w:r>
        <w:rPr>
          <w:rFonts w:ascii="Times New Roman" w:hAnsi="Times New Roman"/>
          <w:color w:val="1f1f1f"/>
          <w:sz w:val="20"/>
        </w:rPr>
        <w:t xml:space="preserve">. Where “Defendants produced Bates Nos. 000162–000462 as a single, unorganized ‘binder’ of documents, much of which duplicates earlier Bates ranges ([ECF No. 48-2])[,]” Defendants </w:t>
      </w:r>
      <w:r>
        <w:rPr>
          <w:rFonts w:ascii="Times New Roman" w:hAnsi="Times New Roman"/>
          <w:b/>
          <w:color w:val="1f1f1f"/>
          <w:sz w:val="20"/>
        </w:rPr>
        <w:t>SHALL</w:t>
      </w:r>
      <w:r>
        <w:rPr>
          <w:rFonts w:ascii="Times New Roman" w:hAnsi="Times New Roman"/>
          <w:color w:val="1f1f1f"/>
          <w:sz w:val="20"/>
        </w:rPr>
        <w:t xml:space="preserve">, no later than Friday, </w:t>
      </w:r>
      <w:r>
        <w:rPr>
          <w:rFonts w:ascii="Times New Roman" w:hAnsi="Times New Roman"/>
          <w:b/>
          <w:color w:val="1f1f1f"/>
          <w:sz w:val="20"/>
        </w:rPr>
        <w:t>November 7, 2025</w:t>
      </w:r>
      <w:r>
        <w:rPr>
          <w:rFonts w:ascii="Times New Roman" w:hAnsi="Times New Roman"/>
          <w:color w:val="1f1f1f"/>
          <w:sz w:val="20"/>
        </w:rPr>
        <w:t>, provide descriptions, labeling materials to correspond to Plaintiff's RFPs.</w:t>
      </w:r>
    </w:p>
    <w:p>
      <w:pPr>
        <w:spacing w:before="0" w:after="0" w:line="275" w:lineRule="atLeast"/>
        <w:jc w:val="both"/>
      </w:pPr>
      <w:r>
        <w:rPr>
          <w:rFonts w:ascii="Times New Roman" w:hAnsi="Times New Roman"/>
          <w:color w:val="1f1f1f"/>
          <w:sz w:val="20"/>
        </w:rPr>
        <w:t xml:space="preserve">(ECF No. 48, PageID.318-319; </w:t>
      </w:r>
      <w:r>
        <w:rPr>
          <w:rFonts w:ascii="Times New Roman" w:hAnsi="Times New Roman"/>
          <w:i/>
          <w:color w:val="1f1f1f"/>
          <w:sz w:val="20"/>
        </w:rPr>
        <w:t xml:space="preserve">see also </w:t>
      </w:r>
      <w:r>
        <w:rPr>
          <w:rFonts w:ascii="Times New Roman" w:hAnsi="Times New Roman"/>
          <w:i/>
          <w:color w:val="1f1f1f"/>
          <w:sz w:val="20"/>
        </w:rPr>
        <w:t>id.</w:t>
      </w:r>
      <w:r>
        <w:rPr>
          <w:rFonts w:ascii="Times New Roman" w:hAnsi="Times New Roman"/>
          <w:color w:val="1f1f1f"/>
          <w:sz w:val="20"/>
        </w:rPr>
        <w:t>, PageID.315-317.)</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7" w:name="co_pp_sp_999_3_1"/>
      <w:r>
        <w:rPr>
          <w:rFonts w:ascii="Times New Roman" w:hAnsi="Times New Roman"/>
          <w:b/>
          <w:color w:val="000000"/>
          <w:sz w:val="20"/>
        </w:rPr>
        <w:t>*3</w:t>
      </w:r>
      <w:bookmarkEnd w:id="17"/>
      <w:r>
        <w:rPr>
          <w:rFonts w:ascii="Times New Roman" w:hAnsi="Times New Roman"/>
          <w:color w:val="1f1f1f"/>
          <w:sz w:val="20"/>
        </w:rPr>
        <w:t xml:space="preserve"> Moreover, Plaintiff's motion for a protective order regarding Defendants' notice of deposition (ECF No. 49) is </w:t>
      </w:r>
      <w:r>
        <w:rPr>
          <w:rFonts w:ascii="Times New Roman" w:hAnsi="Times New Roman"/>
          <w:b/>
          <w:color w:val="1f1f1f"/>
          <w:sz w:val="20"/>
        </w:rPr>
        <w:t>GRANTED IN PART AND DENIED IN PART</w:t>
      </w:r>
      <w:r>
        <w:rPr>
          <w:rFonts w:ascii="Times New Roman" w:hAnsi="Times New Roman"/>
          <w:color w:val="1f1f1f"/>
          <w:sz w:val="20"/>
        </w:rPr>
        <w:t xml:space="preserve"> as follows:</w:t>
      </w:r>
    </w:p>
    <w:p>
      <w:pPr>
        <w:spacing w:before="200" w:after="0" w:line="275" w:lineRule="atLeast"/>
        <w:ind w:left="400" w:right="0" w:hanging="200"/>
        <w:jc w:val="both"/>
      </w:pPr>
      <w:r>
        <w:rPr>
          <w:rFonts w:ascii="Times New Roman" w:hAnsi="Times New Roman"/>
          <w:b/>
          <w:color w:val="1f1f1f"/>
          <w:sz w:val="20"/>
        </w:rPr>
        <w:t>1.</w:t>
      </w:r>
      <w:r>
        <w:rPr>
          <w:rFonts w:ascii="Times New Roman" w:hAnsi="Times New Roman"/>
          <w:color w:val="1f1f1f"/>
          <w:sz w:val="20"/>
        </w:rPr>
        <w:t xml:space="preserve"> Plaintiff's request for entry of “a Protective Order pursuant to </w:t>
      </w:r>
      <w:hyperlink r:id="r21">
        <w:r>
          <w:rPr>
            <w:rFonts w:ascii="Times New Roman" w:hAnsi="Times New Roman"/>
            <w:color w:val="006fc4"/>
            <w:sz w:val="20"/>
          </w:rPr>
          <w:t>Fed. R. Civ. P. 26(c)</w:t>
        </w:r>
      </w:hyperlink>
      <w:r>
        <w:rPr>
          <w:rFonts w:ascii="Times New Roman" w:hAnsi="Times New Roman"/>
          <w:color w:val="1f1f1f"/>
          <w:sz w:val="20"/>
        </w:rPr>
        <w:t xml:space="preserve">, postponing Plaintiff's deposition until after Defendants substantially comply with discovery, and ordering that HR and decisionmaker depositions proceed first, consistent with </w:t>
      </w:r>
      <w:hyperlink r:id="r22">
        <w:r>
          <w:rPr>
            <w:rFonts w:ascii="Times New Roman" w:hAnsi="Times New Roman"/>
            <w:color w:val="006fc4"/>
            <w:sz w:val="20"/>
          </w:rPr>
          <w:t>Fed. R. Civ. P. 26(d)(3)</w:t>
        </w:r>
      </w:hyperlink>
      <w:r>
        <w:rPr>
          <w:rFonts w:ascii="Times New Roman" w:hAnsi="Times New Roman"/>
          <w:color w:val="1f1f1f"/>
          <w:sz w:val="20"/>
        </w:rPr>
        <w:t xml:space="preserve">[,]” is </w:t>
      </w:r>
      <w:r>
        <w:rPr>
          <w:rFonts w:ascii="Times New Roman" w:hAnsi="Times New Roman"/>
          <w:b/>
          <w:color w:val="1f1f1f"/>
          <w:sz w:val="20"/>
        </w:rPr>
        <w:t>DENIED</w:t>
      </w:r>
      <w:r>
        <w:rPr>
          <w:rFonts w:ascii="Times New Roman" w:hAnsi="Times New Roman"/>
          <w:color w:val="1f1f1f"/>
          <w:sz w:val="20"/>
        </w:rPr>
        <w:t>. Defendants have been seeking Plaintiff's deposition since January 23, 2025 (</w:t>
      </w:r>
      <w:r>
        <w:rPr>
          <w:rFonts w:ascii="Times New Roman" w:hAnsi="Times New Roman"/>
          <w:i/>
          <w:color w:val="1f1f1f"/>
          <w:sz w:val="20"/>
        </w:rPr>
        <w:t>see</w:t>
      </w:r>
      <w:r>
        <w:rPr>
          <w:rFonts w:ascii="Times New Roman" w:hAnsi="Times New Roman"/>
          <w:color w:val="1f1f1f"/>
          <w:sz w:val="20"/>
        </w:rPr>
        <w:t xml:space="preserve"> ECF No. 60, PageID.421), </w:t>
      </w:r>
      <w:r>
        <w:rPr>
          <w:rFonts w:ascii="Times New Roman" w:hAnsi="Times New Roman"/>
          <w:i/>
          <w:color w:val="1f1f1f"/>
          <w:sz w:val="20"/>
        </w:rPr>
        <w:t>i.e.</w:t>
      </w:r>
      <w:r>
        <w:rPr>
          <w:rFonts w:ascii="Times New Roman" w:hAnsi="Times New Roman"/>
          <w:color w:val="1f1f1f"/>
          <w:sz w:val="20"/>
        </w:rPr>
        <w:t xml:space="preserve">, nine months ago. Defendants may take Plaintiff's deposition in November 2025 (before Plaintiff takes any depositions, although not before Friday, November 7, 2025. As negotiated by the parties during the motion hearing, </w:t>
      </w:r>
      <w:r>
        <w:rPr>
          <w:rFonts w:ascii="Times New Roman" w:hAnsi="Times New Roman"/>
          <w:color w:val="1f1f1f"/>
          <w:sz w:val="20"/>
          <w:u w:val="single" w:color="1f1f1f"/>
        </w:rPr>
        <w:t xml:space="preserve">Plaintiff's deposition </w:t>
      </w:r>
      <w:r>
        <w:rPr>
          <w:rFonts w:ascii="Times New Roman" w:hAnsi="Times New Roman"/>
          <w:b/>
          <w:color w:val="1f1f1f"/>
          <w:sz w:val="20"/>
          <w:u w:val="single" w:color="1f1f1f"/>
        </w:rPr>
        <w:t>WILL TAKE PLACE</w:t>
      </w:r>
      <w:r>
        <w:rPr>
          <w:rFonts w:ascii="Times New Roman" w:hAnsi="Times New Roman"/>
          <w:color w:val="1f1f1f"/>
          <w:sz w:val="20"/>
          <w:u w:val="single" w:color="1f1f1f"/>
        </w:rPr>
        <w:t xml:space="preserve"> on </w:t>
      </w:r>
      <w:r>
        <w:rPr>
          <w:rFonts w:ascii="Times New Roman" w:hAnsi="Times New Roman"/>
          <w:b/>
          <w:color w:val="1f1f1f"/>
          <w:sz w:val="20"/>
          <w:u w:val="single" w:color="1f1f1f"/>
        </w:rPr>
        <w:t>November 25, 2025</w:t>
      </w:r>
      <w:r>
        <w:rPr>
          <w:rFonts w:ascii="Times New Roman" w:hAnsi="Times New Roman"/>
          <w:color w:val="1f1f1f"/>
          <w:sz w:val="20"/>
        </w:rPr>
        <w:t xml:space="preserve">, beginning in the morning to allow for the up to 7 hours permitted by </w:t>
      </w:r>
      <w:hyperlink r:id="r23">
        <w:r>
          <w:rPr>
            <w:rFonts w:ascii="Times New Roman" w:hAnsi="Times New Roman"/>
            <w:color w:val="006fc4"/>
            <w:sz w:val="20"/>
          </w:rPr>
          <w:t>Fed. R. Civ. P. 30(d)(1)</w:t>
        </w:r>
      </w:hyperlink>
      <w:r>
        <w:rPr>
          <w:rFonts w:ascii="Times New Roman" w:hAnsi="Times New Roman"/>
          <w:color w:val="1f1f1f"/>
          <w:sz w:val="20"/>
        </w:rPr>
        <w:t xml:space="preserve"> (“Duration.”).</w:t>
      </w:r>
    </w:p>
    <w:p>
      <w:pPr>
        <w:spacing w:before="200" w:after="0" w:line="275" w:lineRule="atLeast"/>
        <w:ind w:left="400" w:right="0" w:hanging="200"/>
        <w:jc w:val="both"/>
      </w:pPr>
      <w:r>
        <w:rPr>
          <w:rFonts w:ascii="Times New Roman" w:hAnsi="Times New Roman"/>
          <w:b/>
          <w:color w:val="1f1f1f"/>
          <w:sz w:val="20"/>
        </w:rPr>
        <w:t>2.</w:t>
      </w:r>
      <w:r>
        <w:rPr>
          <w:rFonts w:ascii="Times New Roman" w:hAnsi="Times New Roman"/>
          <w:color w:val="1f1f1f"/>
          <w:sz w:val="20"/>
        </w:rPr>
        <w:t xml:space="preserve"> Plaintiff's request to “strike the ‘bring originals’ demand from Defendants' Notice of Deposition” (</w:t>
      </w:r>
      <w:r>
        <w:rPr>
          <w:rFonts w:ascii="Times New Roman" w:hAnsi="Times New Roman"/>
          <w:i/>
          <w:color w:val="1f1f1f"/>
          <w:sz w:val="20"/>
        </w:rPr>
        <w:t>see</w:t>
      </w:r>
      <w:r>
        <w:rPr>
          <w:rFonts w:ascii="Times New Roman" w:hAnsi="Times New Roman"/>
          <w:color w:val="1f1f1f"/>
          <w:sz w:val="20"/>
        </w:rPr>
        <w:t xml:space="preserve"> ECF No. 49-2, PageID.348) is </w:t>
      </w:r>
      <w:r>
        <w:rPr>
          <w:rFonts w:ascii="Times New Roman" w:hAnsi="Times New Roman"/>
          <w:b/>
          <w:color w:val="1f1f1f"/>
          <w:sz w:val="20"/>
        </w:rPr>
        <w:t>DENIED</w:t>
      </w:r>
      <w:r>
        <w:rPr>
          <w:rFonts w:ascii="Times New Roman" w:hAnsi="Times New Roman"/>
          <w:color w:val="1f1f1f"/>
          <w:sz w:val="20"/>
        </w:rPr>
        <w:t>, because originals allow for comparison between what was produced and the original source, and originals also help address any concerns about authenticity.</w:t>
      </w:r>
      <w:bookmarkStart w:id="18" w:name="co_fnRef_B00042058269720_ID0EODAE_1"/>
      <w:hyperlink w:anchor="co_footnote_B00042058269720_1">
        <w:r>
          <w:rPr>
            <w:rFonts w:ascii="Times New Roman" w:hAnsi="Times New Roman"/>
            <w:color w:val="006fc4"/>
            <w:sz w:val="16"/>
            <w:vertAlign w:val="superscript"/>
          </w:rPr>
          <w:t>4</w:t>
        </w:r>
      </w:hyperlink>
      <w:bookmarkEnd w:id="18"/>
    </w:p>
    <w:p>
      <w:pPr>
        <w:spacing w:before="200" w:after="0" w:line="275" w:lineRule="atLeast"/>
        <w:ind w:left="400" w:right="0" w:hanging="200"/>
        <w:jc w:val="both"/>
      </w:pPr>
      <w:r>
        <w:rPr>
          <w:rFonts w:ascii="Times New Roman" w:hAnsi="Times New Roman"/>
          <w:b/>
          <w:color w:val="1f1f1f"/>
          <w:sz w:val="20"/>
        </w:rPr>
        <w:t>3.</w:t>
      </w:r>
      <w:r>
        <w:rPr>
          <w:rFonts w:ascii="Times New Roman" w:hAnsi="Times New Roman"/>
          <w:color w:val="1f1f1f"/>
          <w:sz w:val="20"/>
        </w:rPr>
        <w:t xml:space="preserve"> Plaintiff's request for an order requiring that “any deposition of Plaintiff be conducted via Zoom or equivalent platform, in full compliance with the Court's ADA Accommodation Order ([ECF No.] 39)[,]” is </w:t>
      </w:r>
      <w:r>
        <w:rPr>
          <w:rFonts w:ascii="Times New Roman" w:hAnsi="Times New Roman"/>
          <w:b/>
          <w:color w:val="1f1f1f"/>
          <w:sz w:val="20"/>
        </w:rPr>
        <w:t>DENIED.</w:t>
      </w:r>
      <w:r>
        <w:rPr>
          <w:rFonts w:ascii="Times New Roman" w:hAnsi="Times New Roman"/>
          <w:color w:val="1f1f1f"/>
          <w:sz w:val="20"/>
        </w:rPr>
        <w:t xml:space="preserve"> Plaintiff's portrayal of that order was inaccurate. Plaintiff's forthcoming deposition will take place in person, because there is good reason to do so, for the various reasons placed on the record (</w:t>
      </w:r>
      <w:r>
        <w:rPr>
          <w:rFonts w:ascii="Times New Roman" w:hAnsi="Times New Roman"/>
          <w:i/>
          <w:color w:val="1f1f1f"/>
          <w:sz w:val="20"/>
        </w:rPr>
        <w:t>e.g.</w:t>
      </w:r>
      <w:r>
        <w:rPr>
          <w:rFonts w:ascii="Times New Roman" w:hAnsi="Times New Roman"/>
          <w:color w:val="1f1f1f"/>
          <w:sz w:val="20"/>
        </w:rPr>
        <w:t>, Defendants' right to see whether Plaintiff is looking at a computer or documents as she testifies, verification that Plaintiff is alone, ability to better observe body language, etc.); however, it shall take place at a neutral site (</w:t>
      </w:r>
      <w:r>
        <w:rPr>
          <w:rFonts w:ascii="Times New Roman" w:hAnsi="Times New Roman"/>
          <w:i/>
          <w:color w:val="1f1f1f"/>
          <w:sz w:val="20"/>
        </w:rPr>
        <w:t>e.g.</w:t>
      </w:r>
      <w:r>
        <w:rPr>
          <w:rFonts w:ascii="Times New Roman" w:hAnsi="Times New Roman"/>
          <w:color w:val="1f1f1f"/>
          <w:sz w:val="20"/>
        </w:rPr>
        <w:t>, a court reporter's office or conference room), not at defense counsel's office.</w:t>
      </w:r>
      <w:bookmarkStart w:id="19" w:name="co_fnRef_B00052058269720_ID0ESEAE_1"/>
      <w:hyperlink w:anchor="co_footnote_B00052058269720_1">
        <w:r>
          <w:rPr>
            <w:rFonts w:ascii="Times New Roman" w:hAnsi="Times New Roman"/>
            <w:color w:val="006fc4"/>
            <w:sz w:val="16"/>
            <w:vertAlign w:val="superscript"/>
          </w:rPr>
          <w:t>5</w:t>
        </w:r>
      </w:hyperlink>
      <w:bookmarkEnd w:id="19"/>
    </w:p>
    <w:p>
      <w:pPr>
        <w:spacing w:before="0" w:after="0" w:line="275" w:lineRule="atLeast"/>
        <w:jc w:val="both"/>
      </w:pPr>
      <w:r>
        <w:rPr>
          <w:rFonts w:ascii="Times New Roman" w:hAnsi="Times New Roman"/>
          <w:color w:val="1f1f1f"/>
          <w:sz w:val="20"/>
        </w:rPr>
        <w:t xml:space="preserve">(ECF No. 49, PageID.340.) Plaintiff's deposition will not be held up by any of Plaintiff's outstanding discovery issues, and she is cautioned that failure to attend her deposition subjects her to sanctions consistent with </w:t>
      </w:r>
      <w:hyperlink r:id="r24">
        <w:r>
          <w:rPr>
            <w:rFonts w:ascii="Times New Roman" w:hAnsi="Times New Roman"/>
            <w:color w:val="006fc4"/>
            <w:sz w:val="20"/>
          </w:rPr>
          <w:t>Fed. R. Civ. P. 37(d)</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Additionally, Plaintiff twice cited to </w:t>
      </w:r>
      <w:r>
        <w:rPr>
          <w:rFonts w:ascii="Times New Roman" w:hAnsi="Times New Roman"/>
          <w:i/>
          <w:color w:val="1f1f1f"/>
          <w:sz w:val="20"/>
        </w:rPr>
        <w:t>Smith v. Dow Chem. Co.</w:t>
      </w:r>
      <w:r>
        <w:rPr>
          <w:rFonts w:ascii="Times New Roman" w:hAnsi="Times New Roman"/>
          <w:color w:val="1f1f1f"/>
          <w:sz w:val="20"/>
        </w:rPr>
        <w:t xml:space="preserve">, 166 F.R.D. 1, 2 (E.D. Mich. 1996) for the notion that “depositions should not proceed until relevant documents are produced ....” (ECF No. 48, PageID.316; ECF No. 49, PageID.338-339); however, this is a “phantom” or “hallucinated” citation to an FTCA case of a different name that does not mention depositions. </w:t>
      </w:r>
      <w:r>
        <w:rPr>
          <w:rFonts w:ascii="Times New Roman" w:hAnsi="Times New Roman"/>
          <w:i/>
          <w:color w:val="1f1f1f"/>
          <w:sz w:val="20"/>
        </w:rPr>
        <w:t xml:space="preserve">See </w:t>
      </w:r>
      <w:hyperlink r:id="r25">
        <w:r>
          <w:rPr>
            <w:rFonts w:ascii="Times New Roman" w:hAnsi="Times New Roman"/>
            <w:i/>
            <w:color w:val="006fc4"/>
            <w:sz w:val="20"/>
          </w:rPr>
          <w:t>Hamm v. Nasatka Barriers Inc.</w:t>
        </w:r>
        <w:r>
          <w:rPr>
            <w:rFonts w:ascii="Times New Roman" w:hAnsi="Times New Roman"/>
            <w:color w:val="006fc4"/>
            <w:sz w:val="20"/>
          </w:rPr>
          <w:t>, 166 F.R.D. 1 (D.D.C. 1996)</w:t>
        </w:r>
      </w:hyperlink>
      <w:r>
        <w:rPr>
          <w:rFonts w:ascii="Times New Roman" w:hAnsi="Times New Roman"/>
          <w:color w:val="1f1f1f"/>
          <w:sz w:val="20"/>
        </w:rPr>
        <w:t xml:space="preserve">. While the Court cannot say with certainty how this occurred in Plaintiff's brief, it can say that such citations are occurring in court filings with greater frequency now, presumably as the use of generative AI programs increases. Accordingly, Plaintiff is hereby </w:t>
      </w:r>
      <w:r>
        <w:rPr>
          <w:rFonts w:ascii="Times New Roman" w:hAnsi="Times New Roman"/>
          <w:b/>
          <w:color w:val="1f1f1f"/>
          <w:sz w:val="20"/>
        </w:rPr>
        <w:t>DIRECTED</w:t>
      </w:r>
      <w:r>
        <w:rPr>
          <w:rFonts w:ascii="Times New Roman" w:hAnsi="Times New Roman"/>
          <w:color w:val="1f1f1f"/>
          <w:sz w:val="20"/>
        </w:rPr>
        <w:t xml:space="preserve"> to thoroughly read </w:t>
      </w:r>
      <w:hyperlink r:id="r26">
        <w:r>
          <w:rPr>
            <w:rFonts w:ascii="Times New Roman" w:hAnsi="Times New Roman"/>
            <w:i/>
            <w:color w:val="006fc4"/>
            <w:sz w:val="20"/>
          </w:rPr>
          <w:t>Ali v. IT People Corp., Inc.</w:t>
        </w:r>
        <w:r>
          <w:rPr>
            <w:rFonts w:ascii="Times New Roman" w:hAnsi="Times New Roman"/>
            <w:color w:val="006fc4"/>
            <w:sz w:val="20"/>
          </w:rPr>
          <w:t>, No. 2:25-CV-10815, 2025 WL 2682622 (E.D. Mich. Sept. 19, 2025)</w:t>
        </w:r>
      </w:hyperlink>
      <w:r>
        <w:rPr>
          <w:rFonts w:ascii="Times New Roman" w:hAnsi="Times New Roman"/>
          <w:color w:val="1f1f1f"/>
          <w:sz w:val="20"/>
        </w:rPr>
        <w:t xml:space="preserve"> (Patti, M.J.) (sanctioning Plaintiff $200 for each admitted misrepresentation). Although the Court will not sanction Plaintiff at this time, she is </w:t>
      </w:r>
      <w:r>
        <w:rPr>
          <w:rFonts w:ascii="Times New Roman" w:hAnsi="Times New Roman"/>
          <w:b/>
          <w:color w:val="1f1f1f"/>
          <w:sz w:val="20"/>
        </w:rPr>
        <w:t>HEREBY WARNED</w:t>
      </w:r>
      <w:r>
        <w:rPr>
          <w:rFonts w:ascii="Times New Roman" w:hAnsi="Times New Roman"/>
          <w:color w:val="1f1f1f"/>
          <w:sz w:val="20"/>
        </w:rPr>
        <w:t xml:space="preserve"> that future noncompliance with </w:t>
      </w:r>
      <w:hyperlink r:id="r27">
        <w:r>
          <w:rPr>
            <w:rFonts w:ascii="Times New Roman" w:hAnsi="Times New Roman"/>
            <w:color w:val="006fc4"/>
            <w:sz w:val="20"/>
          </w:rPr>
          <w:t>Fed. R. Civ. P. 11</w:t>
        </w:r>
      </w:hyperlink>
      <w:r>
        <w:rPr>
          <w:rFonts w:ascii="Times New Roman" w:hAnsi="Times New Roman"/>
          <w:color w:val="1f1f1f"/>
          <w:sz w:val="20"/>
        </w:rPr>
        <w:t xml:space="preserve"> or misrepresentations to the Court – including mischaracterizations of prior court orders – may well result in related sanctions.</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20" w:name="co_pp_sp_999_4_1"/>
      <w:r>
        <w:rPr>
          <w:rFonts w:ascii="Times New Roman" w:hAnsi="Times New Roman"/>
          <w:b/>
          <w:color w:val="000000"/>
          <w:sz w:val="20"/>
        </w:rPr>
        <w:t>*4</w:t>
      </w:r>
      <w:bookmarkEnd w:id="20"/>
      <w:r>
        <w:rPr>
          <w:rFonts w:ascii="Times New Roman" w:hAnsi="Times New Roman"/>
          <w:color w:val="1f1f1f"/>
          <w:sz w:val="20"/>
        </w:rPr>
        <w:t xml:space="preserve"> Also, as explained in detail on the record, Plaintiff's October 24, 2025 separate statement of resolved and unresolved issues (ECF No. 63) is </w:t>
      </w:r>
      <w:r>
        <w:rPr>
          <w:rFonts w:ascii="Times New Roman" w:hAnsi="Times New Roman"/>
          <w:b/>
          <w:color w:val="1f1f1f"/>
          <w:sz w:val="20"/>
        </w:rPr>
        <w:t>STRICKEN</w:t>
      </w:r>
      <w:r>
        <w:rPr>
          <w:rFonts w:ascii="Times New Roman" w:hAnsi="Times New Roman"/>
          <w:color w:val="1f1f1f"/>
          <w:sz w:val="20"/>
        </w:rPr>
        <w:t xml:space="preserve"> from the record for her admitted failure to cooperate with Defendant in fulfilling my prior directive to file a </w:t>
      </w:r>
      <w:r>
        <w:rPr>
          <w:rFonts w:ascii="Times New Roman" w:hAnsi="Times New Roman"/>
          <w:i/>
          <w:color w:val="1f1f1f"/>
          <w:sz w:val="20"/>
        </w:rPr>
        <w:t>joint</w:t>
      </w:r>
      <w:r>
        <w:rPr>
          <w:rFonts w:ascii="Times New Roman" w:hAnsi="Times New Roman"/>
          <w:color w:val="1f1f1f"/>
          <w:sz w:val="20"/>
        </w:rPr>
        <w:t xml:space="preserve"> statement and for using that opportunity to essentially file a (29-page) supplemental brief.</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Finally, Plaintiff's respective requests for reasonable expenses under </w:t>
      </w:r>
      <w:hyperlink r:id="r28">
        <w:r>
          <w:rPr>
            <w:rFonts w:ascii="Times New Roman" w:hAnsi="Times New Roman"/>
            <w:color w:val="006fc4"/>
            <w:sz w:val="20"/>
          </w:rPr>
          <w:t>Fed. R. Civ. P. 37(a)(5)</w:t>
        </w:r>
      </w:hyperlink>
      <w:r>
        <w:rPr>
          <w:rFonts w:ascii="Times New Roman" w:hAnsi="Times New Roman"/>
          <w:color w:val="1f1f1f"/>
          <w:sz w:val="20"/>
        </w:rPr>
        <w:t xml:space="preserve"> (</w:t>
      </w:r>
      <w:r>
        <w:rPr>
          <w:rFonts w:ascii="Times New Roman" w:hAnsi="Times New Roman"/>
          <w:i/>
          <w:color w:val="1f1f1f"/>
          <w:sz w:val="20"/>
        </w:rPr>
        <w:t>see</w:t>
      </w:r>
      <w:r>
        <w:rPr>
          <w:rFonts w:ascii="Times New Roman" w:hAnsi="Times New Roman"/>
          <w:color w:val="1f1f1f"/>
          <w:sz w:val="20"/>
        </w:rPr>
        <w:t xml:space="preserve"> ECF No. 48, PageID.319 ¶ 4; ECF No. 49, PageID.340 ¶ 4) are </w:t>
      </w:r>
      <w:r>
        <w:rPr>
          <w:rFonts w:ascii="Times New Roman" w:hAnsi="Times New Roman"/>
          <w:b/>
          <w:color w:val="1f1f1f"/>
          <w:sz w:val="20"/>
        </w:rPr>
        <w:t>DENIED</w:t>
      </w:r>
      <w:r>
        <w:rPr>
          <w:rFonts w:ascii="Times New Roman" w:hAnsi="Times New Roman"/>
          <w:color w:val="1f1f1f"/>
          <w:sz w:val="20"/>
        </w:rPr>
        <w:t xml:space="preserve">, because Plaintiff did not fully prevail on either motion, </w:t>
      </w:r>
      <w:r>
        <w:rPr>
          <w:rFonts w:ascii="Times New Roman" w:hAnsi="Times New Roman"/>
          <w:i/>
          <w:color w:val="1f1f1f"/>
          <w:sz w:val="20"/>
        </w:rPr>
        <w:t>see</w:t>
      </w:r>
      <w:r>
        <w:rPr>
          <w:rFonts w:ascii="Times New Roman" w:hAnsi="Times New Roman"/>
          <w:color w:val="1f1f1f"/>
          <w:sz w:val="20"/>
        </w:rPr>
        <w:t xml:space="preserve"> </w:t>
      </w:r>
      <w:hyperlink r:id="r29">
        <w:r>
          <w:rPr>
            <w:rFonts w:ascii="Times New Roman" w:hAnsi="Times New Roman"/>
            <w:color w:val="006fc4"/>
            <w:sz w:val="20"/>
          </w:rPr>
          <w:t>Fed. R. Civ. P. 37(a)(5)(C)</w:t>
        </w:r>
      </w:hyperlink>
      <w:r>
        <w:rPr>
          <w:rFonts w:ascii="Times New Roman" w:hAnsi="Times New Roman"/>
          <w:color w:val="1f1f1f"/>
          <w:sz w:val="20"/>
        </w:rPr>
        <w:t xml:space="preserve">, and her motion to compel did not fully comply with E.D. Mich. LR 7.1(a) (“Seeking Concurrence in Motions and Requests.”). </w:t>
      </w:r>
      <w:r>
        <w:rPr>
          <w:rFonts w:ascii="Times New Roman" w:hAnsi="Times New Roman"/>
          <w:i/>
          <w:color w:val="1f1f1f"/>
          <w:sz w:val="20"/>
        </w:rPr>
        <w:t>See also</w:t>
      </w:r>
      <w:r>
        <w:rPr>
          <w:rFonts w:ascii="Times New Roman" w:hAnsi="Times New Roman"/>
          <w:color w:val="1f1f1f"/>
          <w:sz w:val="20"/>
        </w:rPr>
        <w:t xml:space="preserve"> </w:t>
      </w:r>
      <w:hyperlink r:id="r30">
        <w:r>
          <w:rPr>
            <w:rFonts w:ascii="Times New Roman" w:hAnsi="Times New Roman"/>
            <w:color w:val="006fc4"/>
            <w:sz w:val="20"/>
          </w:rPr>
          <w:t>Fed. R. Civ. P. 37(a)(5)(A)(i)</w:t>
        </w:r>
      </w:hyperlink>
      <w:r>
        <w:rPr>
          <w:rFonts w:ascii="Times New Roman" w:hAnsi="Times New Roman"/>
          <w:color w:val="1f1f1f"/>
          <w:sz w:val="20"/>
        </w:rPr>
        <w:t xml:space="preserve"> (“the movant filed the motion before attempting in good faith to obtain the disclosure or discovery without court action[.]”).</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b/>
          <w:color w:val="1f1f1f"/>
          <w:sz w:val="20"/>
        </w:rPr>
        <w:t>IT IS SO ORDERED.</w:t>
      </w:r>
      <w:bookmarkStart w:id="21" w:name="co_fnRef_B00062058269720_ID0E6LAE_1"/>
      <w:hyperlink w:anchor="co_footnote_B00062058269720_1">
        <w:r>
          <w:rPr>
            <w:rFonts w:ascii="Times New Roman" w:hAnsi="Times New Roman"/>
            <w:b/>
            <w:color w:val="006fc4"/>
            <w:sz w:val="16"/>
            <w:vertAlign w:val="superscript"/>
          </w:rPr>
          <w:t>6</w:t>
        </w:r>
      </w:hyperlink>
      <w:bookmarkEnd w:id="21"/>
    </w:p>
    <w:p>
      <w:pPr>
        <w:spacing w:before="0" w:after="0" w:line="275" w:lineRule="atLeast"/>
        <w:jc w:val="both"/>
      </w:pPr>
      <w:r>
        <w:rPr>
          <w:rFonts w:ascii="Times New Roman" w:hAnsi="Times New Roman"/>
          <w:color w:val="1f1f1f"/>
          <w:sz w:val="20"/>
        </w:rPr>
        <w:t> </w:t>
      </w:r>
    </w:p>
    <w:bookmarkStart w:id="22" w:name="co_allCitations_1"/>
    <w:p>
      <w:pPr>
        <w:keepNext/>
        <w:keepLines/>
        <w:spacing w:before="200" w:after="0" w:line="275" w:lineRule="atLeast"/>
        <w:jc w:val="both"/>
      </w:pPr>
      <w:r>
        <w:rPr>
          <w:rFonts w:ascii="Times New Roman" w:hAnsi="Times New Roman"/>
          <w:b/>
          <w:color w:val="212121"/>
          <w:sz w:val="20"/>
        </w:rPr>
        <w:t>All Citations</w:t>
      </w:r>
    </w:p>
    <w:bookmarkEnd w:id="22"/>
    <w:p>
      <w:pPr>
        <w:spacing w:before="200" w:after="0" w:line="275" w:lineRule="atLeast"/>
        <w:jc w:val="both"/>
      </w:pPr>
      <w:r>
        <w:rPr>
          <w:rFonts w:ascii="Times New Roman" w:hAnsi="Times New Roman"/>
          <w:color w:val="1f1f1f"/>
          <w:sz w:val="20"/>
        </w:rPr>
        <w:t>Slip Copy, 2025 WL 3047881</w:t>
      </w:r>
    </w:p>
    <w:p>
      <w:pPr>
        <w:sectPr>
          <w:headerReference w:type="default" r:id="r5"/>
          <w:headerReference w:type="even" r:id="r5"/>
          <w:footerReference w:type="default" r:id="r6"/>
          <w:footerReference w:type="even" r:id="r6"/>
          <w:pgSz w:w="12240" w:h="15840"/>
          <w:pgMar w:top="1080" w:bottom="1080" w:left="1080" w:right="1080" w:header="0" w:footer="0" w:gutter="0"/>
          <w:pgNumType w:fmt="decimal" w:start="1"/>
          <w:cols w:num="2" w:space="240"/>
        </w:sectPr>
      </w:pPr>
    </w:p>
    <w:p>
      <w:pPr>
        <w:spacing w:before="0" w:after="0" w:line="240" w:lineRule="auto"/>
        <w:rPr>
          <w:sz w:val="24"/>
        </w:rPr>
      </w:pPr>
    </w:p>
    <w:tbl>
      <w:tblPr>
        <w:tblLayout w:type="fixed"/>
      </w:tblPr>
      <w:tblGrid>
        <w:gridCol w:w="600"/>
        <w:gridCol w:w="9450"/>
      </w:tblGrid>
      <w:tr>
        <w:tblPrEx/>
        <w:trPr/>
        <w:tc>
          <w:tcPr>
            <w:hMerge w:val="restart"/>
            <w:tcMar>
              <w:top w:w="200" w:type="dxa"/>
            </w:tcMar>
            <w:vAlign w:val="top"/>
          </w:tcPr>
          <w:p>
            <w:pPr>
              <w:spacing w:before="0" w:after="0" w:line="275" w:lineRule="atLeast"/>
            </w:pPr>
            <w:r>
              <w:rPr>
                <w:rFonts w:ascii="Times New Roman" w:hAnsi="Times New Roman"/>
                <w:color w:val="000000"/>
                <w:sz w:val="20"/>
              </w:rPr>
              <w:t>Footnotes</w:t>
            </w:r>
          </w:p>
        </w:tc>
        <w:tc>
          <w:tcPr>
            <w:hMerge w:val="continue"/>
            <w:tcMar>
              <w:top w:w="200" w:type="dxa"/>
            </w:tcMar>
            <w:vAlign w:val="top"/>
          </w:tcPr>
          <w:p>
            <w:pPr>
              <w:spacing w:before="0" w:after="0" w:line="240" w:lineRule="auto"/>
              <w:rPr>
                <w:rFonts w:ascii="Times New Roman" w:hAnsi="Times New Roman"/>
                <w:color w:val="000000"/>
                <w:sz w:val="20"/>
              </w:rPr>
            </w:pPr>
          </w:p>
        </w:tc>
      </w:tr>
      <w:tr>
        <w:tblPrEx/>
        <w:trPr/>
        <w:tc>
          <w:tcPr>
            <w:vAlign w:val="top"/>
          </w:tcPr>
          <w:p>
            <w:pPr>
              <w:spacing w:before="0" w:after="0" w:line="275" w:lineRule="atLeast"/>
            </w:pPr>
            <w:bookmarkStart w:id="23" w:name="co_footnote_B00012058269720_1"/>
            <w:hyperlink w:anchor="co_fnRef_B00012058269720_ID0ENCAC_1">
              <w:r>
                <w:rPr>
                  <w:rFonts w:ascii="Times New Roman" w:hAnsi="Times New Roman"/>
                  <w:color w:val="006fc4"/>
                  <w:sz w:val="24"/>
                  <w:vertAlign w:val="superscript"/>
                </w:rPr>
                <w:t>1</w:t>
              </w:r>
            </w:hyperlink>
            <w:bookmarkEnd w:id="23"/>
          </w:p>
        </w:tc>
        <w:tc>
          <w:tcPr>
            <w:vAlign w:val="top"/>
          </w:tcPr>
          <w:p>
            <w:pPr>
              <w:pBdr>
                <w:bottom w:val="none" w:space="8"/>
              </w:pBdr>
              <w:spacing w:before="0" w:after="0" w:line="255" w:lineRule="atLeast"/>
              <w:jc w:val="both"/>
            </w:pPr>
            <w:r>
              <w:rPr>
                <w:rFonts w:ascii="Times New Roman" w:hAnsi="Times New Roman"/>
                <w:color w:val="000000"/>
                <w:sz w:val="18"/>
              </w:rPr>
              <w:t>The Court reiterates the warning given to Plaintiff orally at the hearing: E.D. Mich. LR 5.1(a)(3) (“Type Size.”) requires that footnotes be 14-point font, just like the text in the body of the briefing. Plaintiff's ongoing failure to comply with this may result in her future filings being stricken.</w:t>
            </w:r>
          </w:p>
        </w:tc>
      </w:tr>
      <w:tr>
        <w:tblPrEx/>
        <w:trPr/>
        <w:tc>
          <w:tcPr>
            <w:vAlign w:val="top"/>
          </w:tcPr>
          <w:p>
            <w:pPr>
              <w:spacing w:before="0" w:after="0" w:line="275" w:lineRule="atLeast"/>
            </w:pPr>
            <w:bookmarkStart w:id="24" w:name="co_footnote_B00022058269720_1"/>
            <w:hyperlink w:anchor="co_fnRef_B00022058269720_ID0EVEAC_1">
              <w:r>
                <w:rPr>
                  <w:rFonts w:ascii="Times New Roman" w:hAnsi="Times New Roman"/>
                  <w:color w:val="006fc4"/>
                  <w:sz w:val="24"/>
                  <w:vertAlign w:val="superscript"/>
                </w:rPr>
                <w:t>2</w:t>
              </w:r>
            </w:hyperlink>
            <w:bookmarkEnd w:id="24"/>
          </w:p>
        </w:tc>
        <w:tc>
          <w:tcPr>
            <w:vAlign w:val="top"/>
          </w:tcPr>
          <w:p>
            <w:pPr>
              <w:pBdr>
                <w:bottom w:val="none" w:space="8"/>
              </w:pBdr>
              <w:spacing w:before="0" w:after="0" w:line="255" w:lineRule="atLeast"/>
              <w:jc w:val="both"/>
            </w:pPr>
            <w:r>
              <w:rPr>
                <w:rFonts w:ascii="Times New Roman" w:hAnsi="Times New Roman"/>
                <w:color w:val="000000"/>
                <w:sz w:val="18"/>
              </w:rPr>
              <w:t>To the extent the Court's September 26, 2025 order required the parties to be prepared to discuss mediation and other ADR possibilities (</w:t>
            </w:r>
            <w:r>
              <w:rPr>
                <w:rFonts w:ascii="Times New Roman" w:hAnsi="Times New Roman"/>
                <w:i/>
                <w:color w:val="000000"/>
                <w:sz w:val="18"/>
              </w:rPr>
              <w:t>see</w:t>
            </w:r>
            <w:r>
              <w:rPr>
                <w:rFonts w:ascii="Times New Roman" w:hAnsi="Times New Roman"/>
                <w:color w:val="000000"/>
                <w:sz w:val="18"/>
              </w:rPr>
              <w:t xml:space="preserve"> ECF No. 56, PageID.382), the parties reported their plan to conduct mediation sometime in January 2026, and, of the mediators whose names were mentioned during the video motion hearing, Plaintiff's first choice was Chris M. Kwok, Esq. of JAMS (</w:t>
            </w:r>
            <w:r>
              <w:rPr>
                <w:rFonts w:ascii="Times New Roman" w:hAnsi="Times New Roman"/>
                <w:i/>
                <w:color w:val="000000"/>
                <w:sz w:val="18"/>
              </w:rPr>
              <w:t>see</w:t>
            </w:r>
            <w:r>
              <w:rPr>
                <w:rFonts w:ascii="Times New Roman" w:hAnsi="Times New Roman"/>
                <w:color w:val="000000"/>
                <w:sz w:val="18"/>
              </w:rPr>
              <w:t xml:space="preserve"> </w:t>
            </w:r>
            <w:r>
              <w:rPr>
                <w:rFonts w:ascii="Times New Roman" w:hAnsi="Times New Roman"/>
                <w:color w:val="000000"/>
                <w:sz w:val="18"/>
                <w:u w:val="single" w:color="000000"/>
              </w:rPr>
              <w:t>https://www.jamsadr.com/kwok/</w:t>
            </w:r>
            <w:r>
              <w:rPr>
                <w:rFonts w:ascii="Times New Roman" w:hAnsi="Times New Roman"/>
                <w:color w:val="000000"/>
                <w:sz w:val="18"/>
              </w:rPr>
              <w:t>). Defendants having no objection to Mr. Kwok, the Court directed the parties to proceed to mediation with that mediator.</w:t>
            </w:r>
          </w:p>
        </w:tc>
      </w:tr>
      <w:tr>
        <w:tblPrEx/>
        <w:trPr/>
        <w:tc>
          <w:tcPr>
            <w:vAlign w:val="top"/>
          </w:tcPr>
          <w:p>
            <w:pPr>
              <w:spacing w:before="0" w:after="0" w:line="275" w:lineRule="atLeast"/>
            </w:pPr>
            <w:bookmarkStart w:id="25" w:name="co_footnote_B00032058269720_1"/>
            <w:hyperlink w:anchor="co_fnRef_B00032058269720_ID0E5HAC_1">
              <w:r>
                <w:rPr>
                  <w:rFonts w:ascii="Times New Roman" w:hAnsi="Times New Roman"/>
                  <w:color w:val="006fc4"/>
                  <w:sz w:val="24"/>
                  <w:vertAlign w:val="superscript"/>
                </w:rPr>
                <w:t>3</w:t>
              </w:r>
            </w:hyperlink>
            <w:bookmarkEnd w:id="25"/>
          </w:p>
        </w:tc>
        <w:tc>
          <w:tcPr>
            <w:vAlign w:val="top"/>
          </w:tcPr>
          <w:p>
            <w:pPr>
              <w:pBdr>
                <w:bottom w:val="none" w:space="8"/>
              </w:pBdr>
              <w:spacing w:before="0" w:after="0" w:line="255" w:lineRule="atLeast"/>
              <w:jc w:val="both"/>
            </w:pPr>
            <w:r>
              <w:rPr>
                <w:rFonts w:ascii="Times New Roman" w:hAnsi="Times New Roman"/>
                <w:color w:val="000000"/>
                <w:sz w:val="18"/>
              </w:rPr>
              <w:t>During the video motion hearing, Plaintiff mentioned organizational charts in her possession that had not been produced by Defendant. Perhaps these are the organizational charts for Rossanna Hurst (</w:t>
            </w:r>
            <w:r>
              <w:rPr>
                <w:rFonts w:ascii="Times New Roman" w:hAnsi="Times New Roman"/>
                <w:i/>
                <w:color w:val="000000"/>
                <w:sz w:val="18"/>
              </w:rPr>
              <w:t>see</w:t>
            </w:r>
            <w:r>
              <w:rPr>
                <w:rFonts w:ascii="Times New Roman" w:hAnsi="Times New Roman"/>
                <w:color w:val="000000"/>
                <w:sz w:val="18"/>
              </w:rPr>
              <w:t xml:space="preserve"> ECF No. 63-1) and Martina Schoultz (</w:t>
            </w:r>
            <w:r>
              <w:rPr>
                <w:rFonts w:ascii="Times New Roman" w:hAnsi="Times New Roman"/>
                <w:i/>
                <w:color w:val="000000"/>
                <w:sz w:val="18"/>
              </w:rPr>
              <w:t>see</w:t>
            </w:r>
            <w:r>
              <w:rPr>
                <w:rFonts w:ascii="Times New Roman" w:hAnsi="Times New Roman"/>
                <w:color w:val="000000"/>
                <w:sz w:val="18"/>
              </w:rPr>
              <w:t xml:space="preserve"> ECF No. 63-2), which are attached to Plaintiff's now-stricken statement (</w:t>
            </w:r>
            <w:r>
              <w:rPr>
                <w:rFonts w:ascii="Times New Roman" w:hAnsi="Times New Roman"/>
                <w:i/>
                <w:color w:val="000000"/>
                <w:sz w:val="18"/>
              </w:rPr>
              <w:t>see</w:t>
            </w:r>
            <w:r>
              <w:rPr>
                <w:rFonts w:ascii="Times New Roman" w:hAnsi="Times New Roman"/>
                <w:color w:val="000000"/>
                <w:sz w:val="18"/>
              </w:rPr>
              <w:t xml:space="preserve"> ECF No. 63). The Court suggests Plaintiff show Defendants which charts she has, so that Defendants may refine their search terms.</w:t>
            </w:r>
          </w:p>
        </w:tc>
      </w:tr>
      <w:tr>
        <w:tblPrEx/>
        <w:trPr/>
        <w:tc>
          <w:tcPr>
            <w:vAlign w:val="top"/>
          </w:tcPr>
          <w:p>
            <w:pPr>
              <w:spacing w:before="0" w:after="0" w:line="275" w:lineRule="atLeast"/>
            </w:pPr>
            <w:bookmarkStart w:id="26" w:name="co_footnote_B00042058269720_1"/>
            <w:hyperlink w:anchor="co_fnRef_B00042058269720_ID0EODAE_1">
              <w:r>
                <w:rPr>
                  <w:rFonts w:ascii="Times New Roman" w:hAnsi="Times New Roman"/>
                  <w:color w:val="006fc4"/>
                  <w:sz w:val="24"/>
                  <w:vertAlign w:val="superscript"/>
                </w:rPr>
                <w:t>4</w:t>
              </w:r>
            </w:hyperlink>
            <w:bookmarkEnd w:id="26"/>
          </w:p>
        </w:tc>
        <w:tc>
          <w:tcPr>
            <w:vAlign w:val="top"/>
          </w:tcPr>
          <w:p>
            <w:pPr>
              <w:pBdr>
                <w:bottom w:val="none" w:space="8"/>
              </w:pBdr>
              <w:spacing w:before="0" w:after="0" w:line="255" w:lineRule="atLeast"/>
              <w:jc w:val="both"/>
            </w:pPr>
            <w:r>
              <w:rPr>
                <w:rFonts w:ascii="Times New Roman" w:hAnsi="Times New Roman"/>
                <w:color w:val="000000"/>
                <w:sz w:val="18"/>
              </w:rPr>
              <w:t xml:space="preserve">Here, Plaintiff is not being asked to produce these items for the first time, in which case </w:t>
            </w:r>
            <w:hyperlink r:id="r31">
              <w:r>
                <w:rPr>
                  <w:rFonts w:ascii="Times New Roman" w:hAnsi="Times New Roman"/>
                  <w:color w:val="006fc4"/>
                  <w:sz w:val="18"/>
                </w:rPr>
                <w:t>Fed. R. Civ. P. 34</w:t>
              </w:r>
            </w:hyperlink>
            <w:r>
              <w:rPr>
                <w:rFonts w:ascii="Times New Roman" w:hAnsi="Times New Roman"/>
                <w:color w:val="000000"/>
                <w:sz w:val="18"/>
              </w:rPr>
              <w:t>'s timeframes would apply; instead, she is being asked to bring originals of documents already produced: “The deponent shall bring with her to the deposition the original documents requested in Plaintiff's discovery, notwithstanding the production of copies earlier produced.” (ECF No. 49-2, PageID.348.) These documents should have already been assembled for the original production. The request is not unreasonable.</w:t>
            </w:r>
          </w:p>
        </w:tc>
      </w:tr>
      <w:tr>
        <w:tblPrEx/>
        <w:trPr/>
        <w:tc>
          <w:tcPr>
            <w:vAlign w:val="top"/>
          </w:tcPr>
          <w:p>
            <w:pPr>
              <w:spacing w:before="0" w:after="0" w:line="275" w:lineRule="atLeast"/>
            </w:pPr>
            <w:bookmarkStart w:id="27" w:name="co_footnote_B00052058269720_1"/>
            <w:hyperlink w:anchor="co_fnRef_B00052058269720_ID0ESEAE_1">
              <w:r>
                <w:rPr>
                  <w:rFonts w:ascii="Times New Roman" w:hAnsi="Times New Roman"/>
                  <w:color w:val="006fc4"/>
                  <w:sz w:val="24"/>
                  <w:vertAlign w:val="superscript"/>
                </w:rPr>
                <w:t>5</w:t>
              </w:r>
            </w:hyperlink>
            <w:bookmarkEnd w:id="27"/>
          </w:p>
        </w:tc>
        <w:tc>
          <w:tcPr>
            <w:vAlign w:val="top"/>
          </w:tcPr>
          <w:p>
            <w:pPr>
              <w:pBdr>
                <w:bottom w:val="none" w:space="8"/>
              </w:pBdr>
              <w:spacing w:before="0" w:after="0" w:line="255" w:lineRule="atLeast"/>
              <w:jc w:val="both"/>
            </w:pPr>
            <w:r>
              <w:rPr>
                <w:rFonts w:ascii="Times New Roman" w:hAnsi="Times New Roman"/>
                <w:color w:val="000000"/>
                <w:sz w:val="18"/>
              </w:rPr>
              <w:t>Plaintiff's October 13, 2025 renewed motion (ECF No. 57) to modify disability accommodations, as to which Defendant Gilbarco, Inc. has filed a response (ECF No. 65), is not before the Undersigned.</w:t>
            </w:r>
          </w:p>
        </w:tc>
      </w:tr>
      <w:tr>
        <w:tblPrEx/>
        <w:trPr/>
        <w:tc>
          <w:tcPr>
            <w:vAlign w:val="top"/>
          </w:tcPr>
          <w:p>
            <w:pPr>
              <w:spacing w:before="0" w:after="0" w:line="275" w:lineRule="atLeast"/>
            </w:pPr>
            <w:bookmarkStart w:id="28" w:name="co_footnote_B00062058269720_1"/>
            <w:hyperlink w:anchor="co_fnRef_B00062058269720_ID0E6LAE_1">
              <w:r>
                <w:rPr>
                  <w:rFonts w:ascii="Times New Roman" w:hAnsi="Times New Roman"/>
                  <w:color w:val="006fc4"/>
                  <w:sz w:val="24"/>
                  <w:vertAlign w:val="superscript"/>
                </w:rPr>
                <w:t>6</w:t>
              </w:r>
            </w:hyperlink>
            <w:bookmarkEnd w:id="28"/>
          </w:p>
        </w:tc>
        <w:tc>
          <w:tcPr>
            <w:vAlign w:val="top"/>
          </w:tcPr>
          <w:p>
            <w:pPr>
              <w:pBdr>
                <w:bottom w:val="none" w:space="8"/>
              </w:pBdr>
              <w:spacing w:before="0" w:after="0" w:line="255" w:lineRule="atLeast"/>
              <w:jc w:val="both"/>
            </w:pPr>
            <w:r>
              <w:rPr>
                <w:rFonts w:ascii="Times New Roman" w:hAnsi="Times New Roman"/>
                <w:color w:val="000000"/>
                <w:sz w:val="18"/>
              </w:rPr>
              <w:t xml:space="preserve">The attention of the parties is drawn to </w:t>
            </w:r>
            <w:hyperlink r:id="r32">
              <w:r>
                <w:rPr>
                  <w:rFonts w:ascii="Times New Roman" w:hAnsi="Times New Roman"/>
                  <w:color w:val="006fc4"/>
                  <w:sz w:val="18"/>
                </w:rPr>
                <w:t>Fed. R. Civ. P. 72(a)</w:t>
              </w:r>
            </w:hyperlink>
            <w:r>
              <w:rPr>
                <w:rFonts w:ascii="Times New Roman" w:hAnsi="Times New Roman"/>
                <w:color w:val="000000"/>
                <w:sz w:val="18"/>
              </w:rPr>
              <w:t xml:space="preserve">, which provides a period of fourteen (14) days after being served with a copy of this order within which to file objections for consideration by the district judge under </w:t>
            </w:r>
            <w:hyperlink r:id="r33">
              <w:r>
                <w:rPr>
                  <w:rFonts w:ascii="Times New Roman" w:hAnsi="Times New Roman"/>
                  <w:color w:val="006fc4"/>
                  <w:sz w:val="18"/>
                </w:rPr>
                <w:t>28 U.S.C. § 636(b)(1)</w:t>
              </w:r>
            </w:hyperlink>
            <w:r>
              <w:rPr>
                <w:rFonts w:ascii="Times New Roman" w:hAnsi="Times New Roman"/>
                <w:color w:val="000000"/>
                <w:sz w:val="18"/>
              </w:rPr>
              <w:t>.</w:t>
            </w:r>
          </w:p>
        </w:tc>
      </w:tr>
    </w:tbl>
    <w:p>
      <w:pPr>
        <w:spacing w:before="0" w:after="0" w:line="240" w:lineRule="auto"/>
        <w:rPr>
          <w:sz w:val="24"/>
        </w:rPr>
      </w:pPr>
    </w:p>
    <w:tbl>
      <w:tblPr>
        <w:tblInd w:w="24" w:type="dxa"/>
        <w:tblLayout w:type="fixed"/>
      </w:tblPr>
      <w:tblGrid>
        <w:gridCol w:w="4305"/>
        <w:gridCol w:w="5745"/>
      </w:tblGrid>
      <w:tr>
        <w:tblPrEx/>
        <w:trPr/>
        <w:tc>
          <w:tcPr>
            <w:tcBorders>
              <w:top w:val="single" w:sz="4" w:color="777777"/>
            </w:tcBorders>
            <w:tcMar>
              <w:top w:w="75" w:type="dxa"/>
              <w:left w:w="24" w:type="dxa"/>
              <w:right w:w="24" w:type="dxa"/>
            </w:tcMar>
            <w:vAlign w:val="top"/>
          </w:tcPr>
          <w:p>
            <w:pPr>
              <w:spacing w:before="0" w:after="0" w:line="235" w:lineRule="atLeast"/>
            </w:pPr>
            <w:r>
              <w:rPr>
                <w:rFonts w:ascii="Times New Roman" w:hAnsi="Times New Roman"/>
                <w:b/>
                <w:color w:val="777777"/>
                <w:sz w:val="16"/>
              </w:rPr>
              <w:t>End of Document</w:t>
            </w:r>
          </w:p>
        </w:tc>
        <w:tc>
          <w:tcPr>
            <w:tcBorders>
              <w:top w:val="single" w:sz="4" w:color="777777"/>
            </w:tcBorders>
            <w:tcMar>
              <w:top w:w="75" w:type="dxa"/>
              <w:left w:w="30" w:type="dxa"/>
              <w:right w:w="30" w:type="dxa"/>
            </w:tcMar>
            <w:vAlign w:val="top"/>
          </w:tcPr>
          <w:p>
            <w:pPr>
              <w:spacing w:before="0" w:after="0" w:line="235" w:lineRule="atLeast"/>
              <w:jc w:val="right"/>
            </w:pPr>
            <w:r>
              <w:rPr>
                <w:rFonts w:ascii="Times New Roman" w:hAnsi="Times New Roman"/>
                <w:color w:val="777777"/>
                <w:sz w:val="20"/>
              </w:rPr>
              <w:t>© 2026 Thomson Reuters. No claim to original U.S. Government Works.</w:t>
            </w:r>
          </w:p>
        </w:tc>
      </w:tr>
    </w:tbl>
    <w:sectPr>
      <w:pgSz w:w="12240" w:h="15840"/>
      <w:pgMar w:top="1080" w:bottom="1080" w:left="1080" w:right="1080"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 w:name="Georgia">
    <w:family w:val="roma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270"/>
      <w:gridCol w:w="690"/>
    </w:tblGrid>
    <w:tr>
      <w:tblPrEx/>
      <w:trPr/>
      <w:tc>
        <w:tcPr>
          <w:tcBorders>
            <w:top w:val="single" w:sz="6" w:color="aaaaaa"/>
          </w:tcBorders>
          <w:tcMar>
            <w:top w:w="60" w:type="dxa"/>
          </w:tcMar>
          <w:vAlign w:val="bottom"/>
        </w:tcPr>
        <w:p>
          <w:pPr>
            <w:spacing w:before="0" w:after="0" w:line="240" w:lineRule="auto"/>
          </w:pPr>
          <w:r>
            <w:rPr>
              <w:rFonts w:ascii="Arial" w:hAnsi="Arial"/>
              <w:color w:val="aaaaaa"/>
              <w:sz w:val="20"/>
            </w:rPr>
            <w:drawing>
              <wp:inline>
                <wp:extent cx="742950" cy="95250"/>
                <wp:docPr id="1" name="Picture 0" descr="Westlaw Logo"/>
                <a:graphic>
                  <a:graphicData uri="http://schemas.openxmlformats.org/drawingml/2006/picture">
                    <p:pic>
                      <p:nvPicPr>
                        <p:cNvPr id="2" name="Picture 0" descr="Westlaw Logo"/>
                        <p:cNvPicPr/>
                      </p:nvPicPr>
                      <p:blipFill>
                        <a:blip r:embed="r1"/>
                        <a:srcRect/>
                        <a:stretch>
                          <a:fillRect/>
                        </a:stretch>
                      </p:blipFill>
                      <p:spPr>
                        <a:xfrm>
                          <a:off x="0" y="0"/>
                          <a:ext cx="742950" cy="95250"/>
                        </a:xfrm>
                        <a:prstGeom prst="rect"/>
                      </p:spPr>
                    </p:pic>
                  </a:graphicData>
                </a:graphic>
              </wp:inline>
            </w:drawing>
          </w:r>
          <w:r>
            <w:rPr>
              <w:rFonts w:ascii="Arial" w:hAnsi="Arial"/>
              <w:color w:val="aaaaaa"/>
              <w:sz w:val="20"/>
            </w:rPr>
            <w:t xml:space="preserve"> © 2026 Thomson Reuters. No claim to original U.S. Government Works.</w:t>
          </w:r>
        </w:p>
      </w:tc>
      <w:tc>
        <w:tcPr>
          <w:tcBorders>
            <w:top w:val="single" w:sz="6" w:color="aaaaaa"/>
          </w:tcBorders>
          <w:tcMar>
            <w:top w:w="60" w:type="dxa"/>
          </w:tcMar>
          <w:vAlign w:val="top"/>
        </w:tcPr>
        <w:p>
          <w:pPr>
            <w:spacing w:before="0" w:after="0" w:line="240" w:lineRule="auto"/>
            <w:jc w:val="right"/>
          </w:pPr>
          <w:r>
            <w:rPr>
              <w:rFonts w:ascii="Arial" w:hAnsi="Arial"/>
              <w:color w:val="aaaaaa"/>
              <w:sz w:val="20"/>
            </w:rPr>
            <w:pgNum/>
          </w: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360"/>
      <w:gridCol w:w="705"/>
    </w:tblGrid>
    <w:tr>
      <w:tblPrEx/>
      <w:trPr/>
      <w:tc>
        <w:tcPr>
          <w:tcBorders>
            <w:bottom w:val="single" w:sz="6" w:color="aaaaaa"/>
          </w:tcBorders>
          <w:tcMar>
            <w:top w:w="390" w:type="dxa"/>
            <w:bottom w:w="60" w:type="dxa"/>
          </w:tcMar>
          <w:vAlign w:val="bottom"/>
        </w:tcPr>
        <w:p>
          <w:pPr>
            <w:spacing w:before="0" w:after="0" w:line="240" w:lineRule="auto"/>
          </w:pPr>
          <w:r>
            <w:rPr>
              <w:rFonts w:ascii="Arial" w:hAnsi="Arial"/>
              <w:b/>
              <w:color w:val="555555"/>
              <w:sz w:val="18"/>
            </w:rPr>
            <w:t>Warner v. Gilbarco, Inc., Slip Copy (2025)</w:t>
          </w:r>
        </w:p>
      </w:tc>
      <w:tc>
        <w:tcPr>
          <w:tcBorders>
            <w:bottom w:val="single" w:sz="6" w:color="aaaaaa"/>
          </w:tcBorders>
          <w:tcMar>
            <w:top w:w="390" w:type="dxa"/>
            <w:bottom w:w="60" w:type="dxa"/>
          </w:tcMar>
          <w:vAlign w:val="top"/>
        </w:tcPr>
        <w:p>
          <w:pPr>
            <w:spacing w:before="0" w:after="0" w:line="240" w:lineRule="auto"/>
            <w:rPr>
              <w:rFonts w:ascii="Arial" w:hAnsi="Arial"/>
              <w:color w:val="000000"/>
              <w:sz w:val="18"/>
            </w:rPr>
          </w:pPr>
        </w:p>
      </w:tc>
    </w:tr>
    <w:tr>
      <w:tblPrEx/>
      <w:trPr/>
      <w:tc>
        <w:tcPr>
          <w:hMerge w:val="restart"/>
          <w:vAlign w:val="top"/>
        </w:tcPr>
        <w:p>
          <w:pPr>
            <w:spacing w:before="0" w:after="0" w:line="240" w:lineRule="auto"/>
            <w:rPr>
              <w:rFonts w:ascii="Arial" w:hAnsi="Arial"/>
              <w:color w:val="000000"/>
              <w:sz w:val="18"/>
            </w:rPr>
          </w:pPr>
        </w:p>
      </w:tc>
      <w:tc>
        <w:tcPr>
          <w:hMerge w:val="continue"/>
          <w:vAlign w:val="top"/>
        </w:tcPr>
        <w:p>
          <w:pPr>
            <w:spacing w:before="0" w:after="0" w:line="240" w:lineRule="auto"/>
            <w:rPr>
              <w:rFonts w:ascii="Arial" w:hAnsi="Arial"/>
              <w:color w:val="000000"/>
              <w:sz w:val="18"/>
            </w:rPr>
          </w:pPr>
        </w:p>
      </w:tc>
    </w:tr>
  </w:tbl>
  <w:p>
    <w:pPr>
      <w:spacing w:before="0" w:after="0" w:line="240" w:lineRule="auto"/>
    </w:pPr>
    <w:r>
      <w:rPr>
        <w:rFonts w:ascii="Arial" w:hAnsi="Arial"/>
        <w:color w:val="000000"/>
        <w:sz w:val="18"/>
      </w:rPr>
      <w:t xml:space="preserve">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