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Search/Results.html?query=advanced%3a+WCAID(I83A38220623311E0B508DE267DF909C1)&amp;saveJuris=False&amp;contentType=BUSINESS-INVESTIGATOR&amp;startIndex=1&amp;contextData=(sc.Default)&amp;categoryPageUrl=Home%2fCompanyInvestigator&amp;originationContext=document&amp;vr=3.0&amp;rs=cblt1.0&amp;transitionType=DocumentItem"/>
  <Relationship Id="r8"
    Type="http://schemas.openxmlformats.org/officeDocument/2006/relationships/hyperlink"
    TargetMode="External"
    Target="https://www.westlaw.com/Link/Document/FullText?findType=h&amp;pubNum=176284&amp;cite=0106684001&amp;originatingDoc=I306f8fe00c0a11f1872686932913d7f0&amp;refType=RQ&amp;originationContext=document&amp;vr=3.0&amp;rs=cblt1.0&amp;transitionType=DocumentItem&amp;contextData=(sc.History*oc.AIGuidedResearch)"/>
  <Relationship Id="r9"
    Type="http://schemas.openxmlformats.org/officeDocument/2006/relationships/hyperlink"
    TargetMode="External"
    Target="https://www.westlaw.com/Link/Document/FullText?findType=h&amp;pubNum=176284&amp;cite=0334261201&amp;originatingDoc=I306f8fe00c0a11f1872686932913d7f0&amp;refType=RQ&amp;originationContext=document&amp;vr=3.0&amp;rs=cblt1.0&amp;transitionType=DocumentItem&amp;contextData=(sc.History*oc.AIGuidedResearch)"/>
  <Relationship Id="r10"
    Type="http://schemas.openxmlformats.org/officeDocument/2006/relationships/hyperlink"
    TargetMode="External"
    Target="https://www.westlaw.com/Link/Document/FullText?findType=h&amp;pubNum=176284&amp;cite=0487301801&amp;originatingDoc=I306f8fe00c0a11f1872686932913d7f0&amp;refType=RQ&amp;originationContext=document&amp;vr=3.0&amp;rs=cblt1.0&amp;transitionType=DocumentItem&amp;contextData=(sc.History*oc.AIGuidedResearch)"/>
  <Relationship Id="r11"
    Type="http://schemas.openxmlformats.org/officeDocument/2006/relationships/hyperlink"
    TargetMode="External"
    Target="https://www.westlaw.com/Link/Document/FullText?findType=h&amp;pubNum=176284&amp;cite=0363638001&amp;originatingDoc=I306f8fe00c0a11f1872686932913d7f0&amp;refType=RQ&amp;originationContext=document&amp;vr=3.0&amp;rs=cblt1.0&amp;transitionType=DocumentItem&amp;contextData=(sc.History*oc.AIGuidedResearch)"/>
  <Relationship Id="r12"
    Type="http://schemas.openxmlformats.org/officeDocument/2006/relationships/hyperlink"
    TargetMode="External"
    Target="https://www.westlaw.com/Link/Document/FullText?findType=h&amp;pubNum=176284&amp;cite=0496919499&amp;originatingDoc=I306f8fe00c0a11f1872686932913d7f0&amp;refType=RQ&amp;originationContext=document&amp;vr=3.0&amp;rs=cblt1.0&amp;transitionType=DocumentItem&amp;contextData=(sc.History*oc.AIGuidedResearch)"/>
  <Relationship Id="r13"
    Type="http://schemas.openxmlformats.org/officeDocument/2006/relationships/hyperlink"
    TargetMode="External"
    Target="https://www.westlaw.com/Link/Document/FullText?findType=h&amp;pubNum=176284&amp;cite=0527059301&amp;originatingDoc=I306f8fe00c0a11f1872686932913d7f0&amp;refType=RQ&amp;originationContext=document&amp;vr=3.0&amp;rs=cblt1.0&amp;transitionType=DocumentItem&amp;contextData=(sc.History*oc.AIGuidedResearch)"/>
  <Relationship Id="r14"
    Type="http://schemas.openxmlformats.org/officeDocument/2006/relationships/hyperlink"
    TargetMode="External"
    Target="https://www.westlaw.com/Link/Document/FullText?findType=h&amp;pubNum=176284&amp;cite=0420605901&amp;originatingDoc=I306f8fe00c0a11f1872686932913d7f0&amp;refType=RQ&amp;originationContext=document&amp;vr=3.0&amp;rs=cblt1.0&amp;transitionType=DocumentItem&amp;contextData=(sc.History*oc.AIGuidedResearch)"/>
  <Relationship Id="r15"
    Type="http://schemas.openxmlformats.org/officeDocument/2006/relationships/hyperlink"
    TargetMode="External"
    Target="https://www.westlaw.com/Link/Document/FullText?findType=h&amp;pubNum=176284&amp;cite=0106684001&amp;originatingDoc=I306f8fe00c0a11f1872686932913d7f0&amp;refType=RQ&amp;originationContext=document&amp;vr=3.0&amp;rs=cblt1.0&amp;transitionType=DocumentItem&amp;contextData=(sc.History*oc.AIGuidedResearch)"/>
  <Relationship Id="r16"
    Type="http://schemas.openxmlformats.org/officeDocument/2006/relationships/hyperlink"
    TargetMode="External"
    Target="https://www.westlaw.com/Link/Document/FullText?findType=Y&amp;serNum=2025930336&amp;pubNum=0000506&amp;originatingDoc=I306f8fe00c0a11f1872686932913d7f0&amp;refType=RP&amp;fi=co_pp_sp_506_132&amp;originationContext=document&amp;vr=3.0&amp;rs=cblt1.0&amp;transitionType=DocumentItem&amp;contextData=(sc.History*oc.AIGuidedResearch)#co_pp_sp_506_132"/>
  <Relationship Id="r17"
    Type="http://schemas.openxmlformats.org/officeDocument/2006/relationships/hyperlink"
    TargetMode="External"
    Target="https://www.westlaw.com/Link/Document/FullText?findType=Y&amp;serNum=1992198313&amp;pubNum=0000350&amp;originatingDoc=I306f8fe00c0a11f1872686932913d7f0&amp;refType=RP&amp;fi=co_pp_sp_350_943&amp;originationContext=document&amp;vr=3.0&amp;rs=cblt1.0&amp;transitionType=DocumentItem&amp;contextData=(sc.History*oc.AIGuidedResearch)#co_pp_sp_350_943"/>
  <Relationship Id="r18"
    Type="http://schemas.openxmlformats.org/officeDocument/2006/relationships/hyperlink"
    TargetMode="External"
    Target="https://www.westlaw.com/Link/Document/FullText?findType=Y&amp;serNum=2000632738&amp;pubNum=0000344&amp;originatingDoc=I306f8fe00c0a11f1872686932913d7f0&amp;refType=RP&amp;fi=co_pp_sp_344_55&amp;originationContext=document&amp;vr=3.0&amp;rs=cblt1.0&amp;transitionType=DocumentItem&amp;contextData=(sc.History*oc.AIGuidedResearch)#co_pp_sp_344_55"/>
  <Relationship Id="r19"
    Type="http://schemas.openxmlformats.org/officeDocument/2006/relationships/hyperlink"
    TargetMode="External"
    Target="https://www.westlaw.com/Link/Document/FullText?findType=Y&amp;serNum=2057957096&amp;pubNum=0007903&amp;originatingDoc=I306f8fe00c0a11f1872686932913d7f0&amp;refType=RP&amp;fi=co_pp_sp_7903_699&amp;originationContext=document&amp;vr=3.0&amp;rs=cblt1.0&amp;transitionType=DocumentItem&amp;contextData=(sc.History*oc.AIGuidedResearch)#co_pp_sp_7903_699"/>
  <Relationship Id="r20"
    Type="http://schemas.openxmlformats.org/officeDocument/2006/relationships/hyperlink"
    TargetMode="External"
    Target="https://www.westlaw.com/Link/Document/FullText?findType=Y&amp;serNum=2025930336&amp;pubNum=0000506&amp;originatingDoc=I306f8fe00c0a11f1872686932913d7f0&amp;refType=RP&amp;fi=co_pp_sp_506_132&amp;originationContext=document&amp;vr=3.0&amp;rs=cblt1.0&amp;transitionType=DocumentItem&amp;contextData=(sc.History*oc.AIGuidedResearch)#co_pp_sp_506_132"/>
  <Relationship Id="r21"
    Type="http://schemas.openxmlformats.org/officeDocument/2006/relationships/hyperlink"
    TargetMode="External"
    Target="https://www.westlaw.com/Link/Document/FullText?findType=Y&amp;serNum=2008682434&amp;pubNum=0000506&amp;originatingDoc=I306f8fe00c0a11f1872686932913d7f0&amp;refType=RP&amp;fi=co_pp_sp_506_95&amp;originationContext=document&amp;vr=3.0&amp;rs=cblt1.0&amp;transitionType=DocumentItem&amp;contextData=(sc.History*oc.AIGuidedResearch)#co_pp_sp_506_95"/>
  <Relationship Id="r22"
    Type="http://schemas.openxmlformats.org/officeDocument/2006/relationships/hyperlink"
    TargetMode="External"
    Target="https://www.westlaw.com/Link/Document/FullText?findType=Y&amp;serNum=1995215262&amp;pubNum=0000506&amp;originatingDoc=I306f8fe00c0a11f1872686932913d7f0&amp;refType=RP&amp;fi=co_pp_sp_506_1498&amp;originationContext=document&amp;vr=3.0&amp;rs=cblt1.0&amp;transitionType=DocumentItem&amp;contextData=(sc.History*oc.AIGuidedResearch)#co_pp_sp_506_1498"/>
  <Relationship Id="r23"
    Type="http://schemas.openxmlformats.org/officeDocument/2006/relationships/hyperlink"
    TargetMode="External"
    Target="https://www.westlaw.com/Link/Document/FullText?findType=Y&amp;serNum=1961115168&amp;pubNum=0000350&amp;originatingDoc=I306f8fe00c0a11f1872686932913d7f0&amp;refType=RP&amp;originationContext=document&amp;vr=3.0&amp;rs=cblt1.0&amp;transitionType=DocumentItem&amp;contextData=(sc.History*oc.AIGuidedResearch)"/>
  <Relationship Id="r24"
    Type="http://schemas.openxmlformats.org/officeDocument/2006/relationships/hyperlink"
    TargetMode="External"
    Target="https://www.westlaw.com/Link/Document/FullText?findType=Y&amp;serNum=1987097532&amp;pubNum=0000350&amp;originatingDoc=I306f8fe00c0a11f1872686932913d7f0&amp;refType=RP&amp;fi=co_pp_sp_350_679&amp;originationContext=document&amp;vr=3.0&amp;rs=cblt1.0&amp;transitionType=DocumentItem&amp;contextData=(sc.History*oc.AIGuidedResearch)#co_pp_sp_350_679"/>
  <Relationship Id="r25"
    Type="http://schemas.openxmlformats.org/officeDocument/2006/relationships/hyperlink"
    TargetMode="External"
    Target="https://www.westlaw.com/Link/Document/FullText?findType=Y&amp;serNum=1975129818&amp;pubNum=0000780&amp;originatingDoc=I306f8fe00c0a11f1872686932913d7f0&amp;refType=RP&amp;fi=co_pp_sp_780_238&amp;originationContext=document&amp;vr=3.0&amp;rs=cblt1.0&amp;transitionType=DocumentItem&amp;contextData=(sc.History*oc.AIGuidedResearch)#co_pp_sp_780_238"/>
  <Relationship Id="r26"
    Type="http://schemas.openxmlformats.org/officeDocument/2006/relationships/hyperlink"
    TargetMode="External"
    Target="https://www.westlaw.com/Link/Document/FullText?findType=Y&amp;serNum=2003112927&amp;pubNum=0000506&amp;originatingDoc=I306f8fe00c0a11f1872686932913d7f0&amp;refType=RP&amp;fi=co_pp_sp_506_383&amp;originationContext=document&amp;vr=3.0&amp;rs=cblt1.0&amp;transitionType=DocumentItem&amp;contextData=(sc.History*oc.AIGuidedResearch)#co_pp_sp_506_383"/>
  <Relationship Id="r27"
    Type="http://schemas.openxmlformats.org/officeDocument/2006/relationships/hyperlink"
    TargetMode="External"
    Target="https://www.westlaw.com/Link/Document/FullText?findType=Y&amp;serNum=2003112927&amp;pubNum=0000506&amp;originatingDoc=I306f8fe00c0a11f1872686932913d7f0&amp;refType=RP&amp;originationContext=document&amp;vr=3.0&amp;rs=cblt1.0&amp;transitionType=DocumentItem&amp;contextData=(sc.History*oc.AIGuidedResearch)"/>
  <Relationship Id="r28"
    Type="http://schemas.openxmlformats.org/officeDocument/2006/relationships/hyperlink"
    TargetMode="External"
    Target="https://www.westlaw.com/Link/Document/FullText?findType=Y&amp;serNum=1974127252&amp;pubNum=0000780&amp;originatingDoc=I306f8fe00c0a11f1872686932913d7f0&amp;refType=RP&amp;fi=co_pp_sp_780_710&amp;originationContext=document&amp;vr=3.0&amp;rs=cblt1.0&amp;transitionType=DocumentItem&amp;contextData=(sc.History*oc.AIGuidedResearch)#co_pp_sp_780_710"/>
  <Relationship Id="r29"
    Type="http://schemas.openxmlformats.org/officeDocument/2006/relationships/hyperlink"
    TargetMode="External"
    Target="https://www.westlaw.com/Link/Document/FullText?findType=Y&amp;serNum=2003112927&amp;pubNum=0000506&amp;originatingDoc=I306f8fe00c0a11f1872686932913d7f0&amp;refType=RP&amp;originationContext=document&amp;vr=3.0&amp;rs=cblt1.0&amp;transitionType=DocumentItem&amp;contextData=(sc.History*oc.AIGuidedResearch)"/>
  <Relationship Id="r30"
    Type="http://schemas.openxmlformats.org/officeDocument/2006/relationships/hyperlink"
    TargetMode="External"
    Target="https://www.westlaw.com/Link/Document/FullText?findType=Y&amp;serNum=1992064208&amp;pubNum=0000350&amp;originatingDoc=I306f8fe00c0a11f1872686932913d7f0&amp;refType=RP&amp;originationContext=document&amp;vr=3.0&amp;rs=cblt1.0&amp;transitionType=DocumentItem&amp;contextData=(sc.History*oc.AIGuidedResearch)"/>
  <Relationship Id="r31"
    Type="http://schemas.openxmlformats.org/officeDocument/2006/relationships/hyperlink"
    TargetMode="External"
    Target="https://www.westlaw.com/Link/Document/FullText?findType=Y&amp;serNum=1987097532&amp;pubNum=0000350&amp;originatingDoc=I306f8fe00c0a11f1872686932913d7f0&amp;refType=RP&amp;fi=co_pp_sp_350_680&amp;originationContext=document&amp;vr=3.0&amp;rs=cblt1.0&amp;transitionType=DocumentItem&amp;contextData=(sc.History*oc.AIGuidedResearch)#co_pp_sp_350_680"/>
  <Relationship Id="r32"
    Type="http://schemas.openxmlformats.org/officeDocument/2006/relationships/hyperlink"
    TargetMode="External"
    Target="https://www.westlaw.com/Link/Document/FullText?findType=Y&amp;serNum=2003112927&amp;pubNum=0000506&amp;originatingDoc=I306f8fe00c0a11f1872686932913d7f0&amp;refType=RP&amp;fi=co_pp_sp_506_383&amp;originationContext=document&amp;vr=3.0&amp;rs=cblt1.0&amp;transitionType=DocumentItem&amp;contextData=(sc.History*oc.AIGuidedResearch)#co_pp_sp_506_383"/>
  <Relationship Id="r33"
    Type="http://schemas.openxmlformats.org/officeDocument/2006/relationships/hyperlink"
    TargetMode="External"
    Target="https://www.westlaw.com/Link/Document/FullText?findType=Y&amp;serNum=2003112927&amp;pubNum=0000506&amp;originatingDoc=I306f8fe00c0a11f1872686932913d7f0&amp;refType=RP&amp;originationContext=document&amp;vr=3.0&amp;rs=cblt1.0&amp;transitionType=DocumentItem&amp;contextData=(sc.History*oc.AIGuidedResearch)"/>
  <Relationship Id="r34"
    Type="http://schemas.openxmlformats.org/officeDocument/2006/relationships/hyperlink"
    TargetMode="External"
    Target="https://www.westlaw.com/Link/Document/FullText?findType=Y&amp;serNum=1992064208&amp;pubNum=0000350&amp;originatingDoc=I306f8fe00c0a11f1872686932913d7f0&amp;refType=RP&amp;fi=co_pp_sp_350_1167&amp;originationContext=document&amp;vr=3.0&amp;rs=cblt1.0&amp;transitionType=DocumentItem&amp;contextData=(sc.History*oc.AIGuidedResearch)#co_pp_sp_350_1167"/>
  <Relationship Id="r35"
    Type="http://schemas.openxmlformats.org/officeDocument/2006/relationships/hyperlink"
    TargetMode="External"
    Target="https://www.westlaw.com/Link/Document/FullText?findType=L&amp;pubNum=1000598&amp;cite=USFRCRPR16&amp;originatingDoc=I306f8fe00c0a11f1872686932913d7f0&amp;refType=RB&amp;originationContext=document&amp;vr=3.0&amp;rs=cblt1.0&amp;transitionType=DocumentItem&amp;contextData=(sc.History*oc.AIGuidedResearch)#co_pp_a83b000018c76"/>
  <Relationship Id="r36"
    Type="http://schemas.openxmlformats.org/officeDocument/2006/relationships/hyperlink"
    TargetMode="External"
    Target="https://www.westlaw.com/Link/Document/FullText?findType=Y&amp;serNum=2054663126&amp;pubNum=0007903&amp;originatingDoc=I306f8fe00c0a11f1872686932913d7f0&amp;refType=RP&amp;originationContext=document&amp;vr=3.0&amp;rs=cblt1.0&amp;transitionType=DocumentItem&amp;contextData=(sc.History*oc.AIGuidedResearch)"/>
  <Relationship Id="r37"
    Type="http://schemas.openxmlformats.org/officeDocument/2006/relationships/hyperlink"
    TargetMode="External"
    Target="https://www.westlaw.com/Link/Document/FullText?findType=Y&amp;serNum=2054663126&amp;pubNum=0007903&amp;originatingDoc=I306f8fe00c0a11f1872686932913d7f0&amp;refType=RP&amp;fi=co_pp_sp_7903_574&amp;originationContext=document&amp;vr=3.0&amp;rs=cblt1.0&amp;transitionType=DocumentItem&amp;contextData=(sc.History*oc.AIGuidedResearch)#co_pp_sp_7903_574"/>
  <Relationship Id="r38"
    Type="http://schemas.openxmlformats.org/officeDocument/2006/relationships/hyperlink"
    TargetMode="External"
    Target="https://www.westlaw.com/Link/Document/FullText?findType=Y&amp;serNum=2054663126&amp;originatingDoc=I306f8fe00c0a11f1872686932913d7f0&amp;refType=RP&amp;originationContext=document&amp;vr=3.0&amp;rs=cblt1.0&amp;transitionType=DocumentItem&amp;contextData=(sc.History*oc.AIGuidedResearch)"/>
  <Relationship Id="r39"
    Type="http://schemas.openxmlformats.org/officeDocument/2006/relationships/hyperlink"
    TargetMode="External"
    Target="https://www.westlaw.com/Link/Document/FullText?findType=Y&amp;serNum=2054663126&amp;pubNum=0007903&amp;originatingDoc=I306f8fe00c0a11f1872686932913d7f0&amp;refType=RP&amp;originationContext=document&amp;vr=3.0&amp;rs=cblt1.0&amp;transitionType=DocumentItem&amp;contextData=(sc.History*oc.AIGuidedResearch)"/>
  <Relationship Id="r40"
    Type="http://schemas.openxmlformats.org/officeDocument/2006/relationships/hyperlink"
    TargetMode="External"
    Target="https://www.westlaw.com/Link/Document/FullText?findType=Y&amp;serNum=2054663126&amp;pubNum=0007903&amp;originatingDoc=I306f8fe00c0a11f1872686932913d7f0&amp;refType=RP&amp;originationContext=document&amp;vr=3.0&amp;rs=cblt1.0&amp;transitionType=DocumentItem&amp;contextData=(sc.History*oc.AIGuidedResearch)"/>
  <Relationship Id="r41"
    Type="http://schemas.openxmlformats.org/officeDocument/2006/relationships/hyperlink"
    TargetMode="External"
    Target="https://www.westlaw.com/Link/Document/FullText?findType=Y&amp;serNum=2054663126&amp;pubNum=0007903&amp;originatingDoc=I306f8fe00c0a11f1872686932913d7f0&amp;refType=RP&amp;originationContext=document&amp;vr=3.0&amp;rs=cblt1.0&amp;transitionType=DocumentItem&amp;contextData=(sc.History*oc.AIGuidedResearch)"/>
  <Relationship Id="r42"
    Type="http://schemas.openxmlformats.org/officeDocument/2006/relationships/hyperlink"
    TargetMode="External"
    Target="https://www.westlaw.com/Link/Document/FullText?findType=Y&amp;serNum=2049339806&amp;pubNum=0000344&amp;originatingDoc=I306f8fe00c0a11f1872686932913d7f0&amp;refType=RP&amp;fi=co_pp_sp_344_492&amp;originationContext=document&amp;vr=3.0&amp;rs=cblt1.0&amp;transitionType=DocumentItem&amp;contextData=(sc.History*oc.AIGuidedResearch)#co_pp_sp_344_492"/>
  <Relationship Id="r43"
    Type="http://schemas.openxmlformats.org/officeDocument/2006/relationships/hyperlink"
    TargetMode="External"
    Target="https://www.westlaw.com/Link/Document/FullText?findType=Y&amp;serNum=1998058169&amp;pubNum=0000506&amp;originatingDoc=I306f8fe00c0a11f1872686932913d7f0&amp;refType=RP&amp;fi=co_pp_sp_506_1196&amp;originationContext=document&amp;vr=3.0&amp;rs=cblt1.0&amp;transitionType=DocumentItem&amp;contextData=(sc.History*oc.AIGuidedResearch)#co_pp_sp_506_1196"/>
  <Relationship Id="r44"
    Type="http://schemas.openxmlformats.org/officeDocument/2006/relationships/hyperlink"
    TargetMode="External"
    Target="https://www.westlaw.com/Link/Document/FullText?findType=Y&amp;serNum=1947115463&amp;pubNum=0000780&amp;originatingDoc=I306f8fe00c0a11f1872686932913d7f0&amp;refType=RP&amp;fi=co_pp_sp_780_510&amp;originationContext=document&amp;vr=3.0&amp;rs=cblt1.0&amp;transitionType=DocumentItem&amp;contextData=(sc.History*oc.AIGuidedResearch)#co_pp_sp_780_510"/>
  <Relationship Id="r45"
    Type="http://schemas.openxmlformats.org/officeDocument/2006/relationships/hyperlink"
    TargetMode="External"
    Target="https://www.westlaw.com/Link/Document/FullText?findType=Y&amp;serNum=2049339806&amp;originatingDoc=I306f8fe00c0a11f1872686932913d7f0&amp;refType=RP&amp;originationContext=document&amp;vr=3.0&amp;rs=cblt1.0&amp;transitionType=DocumentItem&amp;contextData=(sc.History*oc.AIGuidedResearch)"/>
  <Relationship Id="r46"
    Type="http://schemas.openxmlformats.org/officeDocument/2006/relationships/hyperlink"
    TargetMode="External"
    Target="https://www.westlaw.com/Link/Document/FullText?findType=Y&amp;serNum=2003112927&amp;pubNum=0000506&amp;originatingDoc=I306f8fe00c0a11f1872686932913d7f0&amp;refType=RP&amp;fi=co_pp_sp_506_383&amp;originationContext=document&amp;vr=3.0&amp;rs=cblt1.0&amp;transitionType=DocumentItem&amp;contextData=(sc.History*oc.AIGuidedResearch)#co_pp_sp_506_383"/>
  <Relationship Id="r47"
    Type="http://schemas.openxmlformats.org/officeDocument/2006/relationships/hyperlink"
    TargetMode="External"
    Target="https://www.westlaw.com/Link/Document/FullText?findType=Y&amp;serNum=1998058169&amp;pubNum=0000506&amp;originatingDoc=I306f8fe00c0a11f1872686932913d7f0&amp;refType=RP&amp;fi=co_pp_sp_506_1197&amp;originationContext=document&amp;vr=3.0&amp;rs=cblt1.0&amp;transitionType=DocumentItem&amp;contextData=(sc.History*oc.AIGuidedResearch)#co_pp_sp_506_1197"/>
  <Relationship Id="r48"
    Type="http://schemas.openxmlformats.org/officeDocument/2006/relationships/hyperlink"
    TargetMode="External"
    Target="https://www.westlaw.com/Link/Document/FullText?findType=Y&amp;serNum=1995215262&amp;pubNum=0000506&amp;originatingDoc=I306f8fe00c0a11f1872686932913d7f0&amp;refType=RP&amp;fi=co_pp_sp_506_1500&amp;originationContext=document&amp;vr=3.0&amp;rs=cblt1.0&amp;transitionType=DocumentItem&amp;contextData=(sc.History*oc.AIGuidedResearch)#co_pp_sp_506_1500"/>
  <Relationship Id="r49"
    Type="http://schemas.openxmlformats.org/officeDocument/2006/relationships/hyperlink"
    TargetMode="External"
    Target="https://www.westlaw.com/Link/Document/FullText?findType=Y&amp;serNum=1992064208&amp;pubNum=0000350&amp;originatingDoc=I306f8fe00c0a11f1872686932913d7f0&amp;refType=RP&amp;fi=co_pp_sp_350_1166&amp;originationContext=document&amp;vr=3.0&amp;rs=cblt1.0&amp;transitionType=DocumentItem&amp;contextData=(sc.History*oc.AIGuidedResearch)#co_pp_sp_350_1166"/>
  <Relationship Id="r50"
    Type="http://schemas.openxmlformats.org/officeDocument/2006/relationships/hyperlink"
    TargetMode="External"
    Target="https://www.westlaw.com/Link/Document/FullText?findType=Y&amp;serNum=2029858354&amp;pubNum=0006538&amp;originatingDoc=I306f8fe00c0a11f1872686932913d7f0&amp;refType=RP&amp;fi=co_pp_sp_6538_110&amp;originationContext=document&amp;vr=3.0&amp;rs=cblt1.0&amp;transitionType=DocumentItem&amp;contextData=(sc.History*oc.AIGuidedResearch)#co_pp_sp_6538_110"/>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I306f8fe00c0a11f1872686932913d7f0_Targe"/>
      <w:bookmarkEnd w:id="1"/>
    </w:p>
    <w:bookmarkEnd w:id="0"/>
    <w:p>
      <w:pPr>
        <w:spacing w:before="0" w:after="0" w:line="275" w:lineRule="atLeast"/>
        <w:jc w:val="center"/>
      </w:pPr>
      <w:r>
        <w:rPr>
          <w:rFonts w:ascii="Georgia" w:hAnsi="Georgia"/>
          <w:color w:val="1f1f1f"/>
          <w:sz w:val="20"/>
        </w:rPr>
        <w:t>2026 WL 436479</w:t>
      </w:r>
    </w:p>
    <w:p>
      <w:pPr>
        <w:spacing w:before="0" w:after="0" w:line="275" w:lineRule="atLeast"/>
        <w:jc w:val="center"/>
      </w:pPr>
      <w:r>
        <w:rPr>
          <w:rFonts w:ascii="Georgia" w:hAnsi="Georgia"/>
          <w:color w:val="1f1f1f"/>
          <w:sz w:val="20"/>
        </w:rPr>
        <w:t>Only the Westlaw citation is currently available.</w:t>
      </w:r>
    </w:p>
    <w:p>
      <w:pPr>
        <w:spacing w:before="0" w:after="0" w:line="275" w:lineRule="atLeast"/>
        <w:jc w:val="center"/>
      </w:pPr>
      <w:r>
        <w:rPr>
          <w:rFonts w:ascii="Georgia" w:hAnsi="Georgia"/>
          <w:color w:val="1f1f1f"/>
          <w:sz w:val="20"/>
        </w:rPr>
        <w:t>United States District Court, S.D. New York.</w:t>
      </w:r>
    </w:p>
    <w:p>
      <w:pPr>
        <w:spacing w:before="240" w:after="0" w:line="312" w:lineRule="auto"/>
        <w:ind w:left="120" w:right="120" w:firstLine="0"/>
        <w:jc w:val="center"/>
      </w:pPr>
      <w:r>
        <w:rPr>
          <w:rFonts w:ascii="Georgia" w:hAnsi="Georgia"/>
          <w:color w:val="212121"/>
          <w:sz w:val="24"/>
        </w:rPr>
        <w:t>UNITED STATES of America,</w:t>
      </w:r>
    </w:p>
    <w:p>
      <w:pPr>
        <w:spacing w:before="0" w:after="0" w:line="312" w:lineRule="auto"/>
        <w:ind w:left="120" w:right="120" w:firstLine="0"/>
        <w:jc w:val="center"/>
      </w:pPr>
      <w:r>
        <w:rPr>
          <w:rFonts w:ascii="Georgia" w:hAnsi="Georgia"/>
          <w:color w:val="212121"/>
          <w:sz w:val="24"/>
        </w:rPr>
        <w:t>v.</w:t>
      </w:r>
    </w:p>
    <w:p>
      <w:pPr>
        <w:spacing w:before="0" w:after="0" w:line="312" w:lineRule="auto"/>
        <w:ind w:left="120" w:right="120" w:firstLine="0"/>
        <w:jc w:val="center"/>
      </w:pPr>
      <w:hyperlink r:id="r7">
        <w:r>
          <w:rPr>
            <w:rFonts w:ascii="Georgia" w:hAnsi="Georgia"/>
            <w:color w:val="006fc4"/>
            <w:sz w:val="24"/>
          </w:rPr>
          <w:t>Bradley HEPPNER</w:t>
        </w:r>
      </w:hyperlink>
      <w:r>
        <w:rPr>
          <w:rFonts w:ascii="Georgia" w:hAnsi="Georgia"/>
          <w:color w:val="212121"/>
          <w:sz w:val="24"/>
        </w:rPr>
        <w:t>, Defendant.</w:t>
      </w:r>
    </w:p>
    <w:p>
      <w:pPr>
        <w:pBdr>
          <w:left w:val="none" w:space="8"/>
        </w:pBdr>
        <w:spacing w:before="240" w:after="0" w:line="275" w:lineRule="atLeast"/>
        <w:ind w:left="150" w:right="0" w:firstLine="0"/>
        <w:jc w:val="center"/>
      </w:pPr>
      <w:r>
        <w:rPr>
          <w:rFonts w:ascii="Georgia" w:hAnsi="Georgia"/>
          <w:color w:val="1f1f1f"/>
          <w:sz w:val="20"/>
        </w:rPr>
        <w:t>25 Cr. 503 (JSR)</w:t>
      </w:r>
    </w:p>
    <w:p>
      <w:pPr>
        <w:pBdr>
          <w:left w:val="none" w:space="8"/>
        </w:pBdr>
        <w:spacing w:before="0" w:after="0" w:line="275" w:lineRule="atLeast"/>
        <w:ind w:left="150" w:right="0" w:firstLine="0"/>
        <w:jc w:val="center"/>
      </w:pPr>
      <w:r>
        <w:rPr>
          <w:rFonts w:ascii="Georgia" w:hAnsi="Georgia"/>
          <w:color w:val="1f1f1f"/>
          <w:sz w:val="20"/>
        </w:rPr>
        <w:t>|</w:t>
      </w:r>
    </w:p>
    <w:p>
      <w:pPr>
        <w:pBdr>
          <w:left w:val="none" w:space="8"/>
        </w:pBdr>
        <w:spacing w:before="0" w:after="0" w:line="275" w:lineRule="atLeast"/>
        <w:ind w:left="150" w:right="0" w:firstLine="0"/>
        <w:jc w:val="center"/>
      </w:pPr>
      <w:r>
        <w:rPr>
          <w:rFonts w:ascii="Georgia" w:hAnsi="Georgia"/>
          <w:color w:val="1f1f1f"/>
          <w:sz w:val="20"/>
        </w:rPr>
        <w:t>Signed February 17, 2026</w:t>
      </w:r>
    </w:p>
    <w:bookmarkStart w:id="2" w:name="co_synopsis_1"/>
    <w:p>
      <w:pPr>
        <w:keepNext/>
        <w:keepLines/>
        <w:spacing w:before="600" w:after="0" w:line="275" w:lineRule="atLeast"/>
        <w:jc w:val="both"/>
      </w:pPr>
      <w:r>
        <w:rPr>
          <w:rFonts w:ascii="Times New Roman" w:hAnsi="Times New Roman"/>
          <w:b/>
          <w:color w:val="212121"/>
          <w:sz w:val="20"/>
        </w:rPr>
        <w:t>Synopsis</w:t>
      </w:r>
    </w:p>
    <w:bookmarkEnd w:id="2"/>
    <w:p>
      <w:pPr>
        <w:spacing w:before="0" w:after="0" w:line="275" w:lineRule="atLeast"/>
        <w:jc w:val="both"/>
      </w:pPr>
      <w:r>
        <w:rPr>
          <w:rFonts w:ascii="Times New Roman" w:hAnsi="Times New Roman"/>
          <w:b/>
          <w:color w:val="1f1f1f"/>
          <w:sz w:val="20"/>
        </w:rPr>
        <w:t>Background:</w:t>
      </w:r>
      <w:r>
        <w:rPr>
          <w:rFonts w:ascii="Times New Roman" w:hAnsi="Times New Roman"/>
          <w:color w:val="1f1f1f"/>
          <w:sz w:val="20"/>
        </w:rPr>
        <w:t xml:space="preserve"> Defendant who pleaded not guilty to grand jury charges of securities fraud, wire fraud, conspiracy, making false statements to auditors, and falsifying corporate records asserted privilege over documents he created using publicly available generative artificial intelligence (AI) platform. Government moved for ruling that AI documents were not protected by attorney-client privilege or work product doctrine.</w:t>
      </w:r>
    </w:p>
    <w:p>
      <w:pPr>
        <w:spacing w:before="0" w:after="0" w:line="275" w:lineRule="atLeast"/>
        <w:jc w:val="both"/>
      </w:pPr>
      <w:r>
        <w:rPr>
          <w:rFonts w:ascii="Times New Roman" w:hAnsi="Times New Roman"/>
          <w:color w:val="1f1f1f"/>
          <w:sz w:val="20"/>
        </w:rPr>
        <w:t> </w:t>
      </w:r>
    </w:p>
    <w:p>
      <w:pPr>
        <w:spacing w:before="400" w:after="0" w:line="275" w:lineRule="atLeast"/>
        <w:jc w:val="both"/>
      </w:pPr>
      <w:r>
        <w:rPr>
          <w:rFonts w:ascii="Times New Roman" w:hAnsi="Times New Roman"/>
          <w:b/>
          <w:color w:val="1f1f1f"/>
          <w:sz w:val="20"/>
        </w:rPr>
        <w:t>Holdings:</w:t>
      </w:r>
      <w:r>
        <w:rPr>
          <w:rFonts w:ascii="Times New Roman" w:hAnsi="Times New Roman"/>
          <w:color w:val="1f1f1f"/>
          <w:sz w:val="20"/>
        </w:rPr>
        <w:t xml:space="preserve"> The District Court, </w:t>
      </w:r>
      <w:hyperlink r:id="r8">
        <w:r>
          <w:rPr>
            <w:rFonts w:ascii="Times New Roman" w:hAnsi="Times New Roman"/>
            <w:color w:val="006fc4"/>
            <w:sz w:val="20"/>
          </w:rPr>
          <w:t>Jed S. Rakoff</w:t>
        </w:r>
      </w:hyperlink>
      <w:r>
        <w:rPr>
          <w:rFonts w:ascii="Times New Roman" w:hAnsi="Times New Roman"/>
          <w:color w:val="1f1f1f"/>
          <w:sz w:val="20"/>
        </w:rPr>
        <w:t>, J., held that: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matter of first impression, AI user's communications in connection with pending criminal investigation were not protected by attorney-client privilege, and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in matter of first impression, AI user's communications in connection with pending criminal investigation were not protected by work product doctrine.</w:t>
      </w:r>
    </w:p>
    <w:p>
      <w:pPr>
        <w:spacing w:before="0" w:after="0" w:line="275" w:lineRule="atLeast"/>
        <w:jc w:val="both"/>
      </w:pPr>
      <w:r>
        <w:rPr>
          <w:rFonts w:ascii="Times New Roman" w:hAnsi="Times New Roman"/>
          <w:color w:val="1f1f1f"/>
          <w:sz w:val="20"/>
        </w:rPr>
        <w:t> </w:t>
      </w:r>
    </w:p>
    <w:p>
      <w:pPr>
        <w:spacing w:before="200" w:after="0" w:line="275" w:lineRule="atLeast"/>
        <w:jc w:val="both"/>
      </w:pPr>
      <w:r>
        <w:rPr>
          <w:rFonts w:ascii="Times New Roman" w:hAnsi="Times New Roman"/>
          <w:color w:val="1f1f1f"/>
          <w:sz w:val="20"/>
        </w:rPr>
        <w:t>Motion granted.</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b/>
          <w:color w:val="1f1f1f"/>
          <w:sz w:val="20"/>
        </w:rPr>
        <w:t>Procedural Posture(s):</w:t>
      </w:r>
      <w:r>
        <w:rPr>
          <w:rFonts w:ascii="Times New Roman" w:hAnsi="Times New Roman"/>
          <w:color w:val="1f1f1f"/>
          <w:sz w:val="20"/>
        </w:rPr>
        <w:t xml:space="preserve"> Pre-Trial Hearing Motion.</w:t>
      </w:r>
    </w:p>
    <w:bookmarkStart w:id="3" w:name="co_attorneysAndLawFirms_1"/>
    <w:p>
      <w:pPr>
        <w:keepNext/>
        <w:keepLines/>
        <w:spacing w:before="200" w:after="0" w:line="275" w:lineRule="atLeast"/>
        <w:jc w:val="both"/>
      </w:pPr>
      <w:r>
        <w:rPr>
          <w:rFonts w:ascii="Times New Roman" w:hAnsi="Times New Roman"/>
          <w:b/>
          <w:color w:val="212121"/>
          <w:sz w:val="20"/>
        </w:rPr>
        <w:t>Attorneys and Law Firms</w:t>
      </w:r>
    </w:p>
    <w:bookmarkEnd w:id="3"/>
    <w:p>
      <w:pPr>
        <w:spacing w:before="200" w:after="0" w:line="275" w:lineRule="atLeast"/>
        <w:jc w:val="both"/>
      </w:pPr>
      <w:hyperlink r:id="r9">
        <w:r>
          <w:rPr>
            <w:rFonts w:ascii="Times New Roman" w:hAnsi="Times New Roman"/>
            <w:color w:val="006fc4"/>
            <w:sz w:val="20"/>
          </w:rPr>
          <w:t>Daniel George Nessim</w:t>
        </w:r>
      </w:hyperlink>
      <w:r>
        <w:rPr>
          <w:rFonts w:ascii="Times New Roman" w:hAnsi="Times New Roman"/>
          <w:color w:val="1f1f1f"/>
          <w:sz w:val="20"/>
        </w:rPr>
        <w:t xml:space="preserve">, Assistant U.S. Attorney, </w:t>
      </w:r>
      <w:hyperlink r:id="r10">
        <w:r>
          <w:rPr>
            <w:rFonts w:ascii="Times New Roman" w:hAnsi="Times New Roman"/>
            <w:color w:val="006fc4"/>
            <w:sz w:val="20"/>
          </w:rPr>
          <w:t>Alexandra Rothman</w:t>
        </w:r>
      </w:hyperlink>
      <w:r>
        <w:rPr>
          <w:rFonts w:ascii="Times New Roman" w:hAnsi="Times New Roman"/>
          <w:color w:val="1f1f1f"/>
          <w:sz w:val="20"/>
        </w:rPr>
        <w:t>, DOJ-United States Attorney's Office, New York, NY, for United States of America.</w:t>
      </w:r>
    </w:p>
    <w:p>
      <w:pPr>
        <w:spacing w:before="200" w:after="0" w:line="275" w:lineRule="atLeast"/>
        <w:jc w:val="both"/>
      </w:pPr>
      <w:hyperlink r:id="r11">
        <w:r>
          <w:rPr>
            <w:rFonts w:ascii="Times New Roman" w:hAnsi="Times New Roman"/>
            <w:color w:val="006fc4"/>
            <w:sz w:val="20"/>
          </w:rPr>
          <w:t>Benjamin Almond O'Neil</w:t>
        </w:r>
      </w:hyperlink>
      <w:r>
        <w:rPr>
          <w:rFonts w:ascii="Times New Roman" w:hAnsi="Times New Roman"/>
          <w:color w:val="1f1f1f"/>
          <w:sz w:val="20"/>
        </w:rPr>
        <w:t xml:space="preserve">, </w:t>
      </w:r>
      <w:hyperlink r:id="r12">
        <w:r>
          <w:rPr>
            <w:rFonts w:ascii="Times New Roman" w:hAnsi="Times New Roman"/>
            <w:color w:val="006fc4"/>
            <w:sz w:val="20"/>
          </w:rPr>
          <w:t>John Scanlon</w:t>
        </w:r>
      </w:hyperlink>
      <w:r>
        <w:rPr>
          <w:rFonts w:ascii="Times New Roman" w:hAnsi="Times New Roman"/>
          <w:color w:val="1f1f1f"/>
          <w:sz w:val="20"/>
        </w:rPr>
        <w:t xml:space="preserve">, </w:t>
      </w:r>
      <w:hyperlink r:id="r13">
        <w:r>
          <w:rPr>
            <w:rFonts w:ascii="Times New Roman" w:hAnsi="Times New Roman"/>
            <w:color w:val="006fc4"/>
            <w:sz w:val="20"/>
          </w:rPr>
          <w:t>Robert Zink</w:t>
        </w:r>
      </w:hyperlink>
      <w:r>
        <w:rPr>
          <w:rFonts w:ascii="Times New Roman" w:hAnsi="Times New Roman"/>
          <w:color w:val="1f1f1f"/>
          <w:sz w:val="20"/>
        </w:rPr>
        <w:t xml:space="preserve">, Pro Hac Vice, Quinn Emanuel Urquhart &amp; Sullivan, LLP, Washington, DC, </w:t>
      </w:r>
      <w:hyperlink r:id="r14">
        <w:r>
          <w:rPr>
            <w:rFonts w:ascii="Times New Roman" w:hAnsi="Times New Roman"/>
            <w:color w:val="006fc4"/>
            <w:sz w:val="20"/>
          </w:rPr>
          <w:t>Christopher Jordan Clore</w:t>
        </w:r>
      </w:hyperlink>
      <w:r>
        <w:rPr>
          <w:rFonts w:ascii="Times New Roman" w:hAnsi="Times New Roman"/>
          <w:color w:val="1f1f1f"/>
          <w:sz w:val="20"/>
        </w:rPr>
        <w:t>, Quinn Emanuel Urquhart &amp; Sullivan, LLP, New York, NY, for Defendant.</w:t>
      </w:r>
    </w:p>
    <w:bookmarkStart w:id="4" w:name="co_opinion_1"/>
    <w:bookmarkStart w:id="5" w:name="co_anchor_I338d9cc210c011f18f19b3ec3d9e"/>
    <w:bookmarkStart w:id="6" w:name="co_anchor_I339e178110c011f18f19b3ec3d9e"/>
    <w:bookmarkStart w:id="7" w:name="co_anchor_I339e178110c011f18f19b3ec32"/>
    <w:p>
      <w:pPr>
        <w:spacing w:before="800" w:after="0" w:line="275" w:lineRule="atLeast"/>
        <w:jc w:val="both"/>
      </w:pPr>
      <w:r>
        <w:rPr>
          <w:rFonts w:ascii="Times New Roman" w:hAnsi="Times New Roman"/>
          <w:color w:val="1f1f1f"/>
          <w:sz w:val="20"/>
          <w:u w:val="single" w:color="1f1f1f"/>
        </w:rPr>
        <w:t>MEMORANDUM</w:t>
      </w:r>
    </w:p>
    <w:bookmarkEnd w:id="7"/>
    <w:bookmarkEnd w:id="6"/>
    <w:bookmarkEnd w:id="5"/>
    <w:bookmarkEnd w:id="4"/>
    <w:p>
      <w:pPr>
        <w:spacing w:before="400" w:after="0" w:line="275" w:lineRule="atLeast"/>
        <w:jc w:val="both"/>
      </w:pPr>
      <w:hyperlink r:id="r15">
        <w:r>
          <w:rPr>
            <w:rFonts w:ascii="Times New Roman" w:hAnsi="Times New Roman"/>
            <w:color w:val="006fc4"/>
            <w:sz w:val="20"/>
          </w:rPr>
          <w:t>JED S. RAKOFF</w:t>
        </w:r>
      </w:hyperlink>
      <w:r>
        <w:rPr>
          <w:rFonts w:ascii="Times New Roman" w:hAnsi="Times New Roman"/>
          <w:color w:val="1f1f1f"/>
          <w:sz w:val="20"/>
        </w:rPr>
        <w:t>, United States District Judge:</w:t>
      </w:r>
    </w:p>
    <w:p>
      <w:pPr>
        <w:spacing w:before="200" w:after="0" w:line="275" w:lineRule="atLeast"/>
        <w:jc w:val="both"/>
      </w:pPr>
      <w:bookmarkStart w:id="8" w:name="co_pp_sp_999_1_1"/>
      <w:r>
        <w:rPr>
          <w:rFonts w:ascii="Times New Roman" w:hAnsi="Times New Roman"/>
          <w:b/>
          <w:color w:val="000000"/>
          <w:sz w:val="20"/>
        </w:rPr>
        <w:t>*1</w:t>
      </w:r>
      <w:bookmarkEnd w:id="8"/>
      <w:r>
        <w:rPr>
          <w:rFonts w:ascii="Times New Roman" w:hAnsi="Times New Roman"/>
          <w:color w:val="1f1f1f"/>
          <w:sz w:val="20"/>
        </w:rPr>
        <w:t xml:space="preserve"> At a pretrial conference in this matter held on February 10, 2026, the Court, after hearing the arguments of counsel, granted from the bench the Government's motion for a ruling that certain written exchanges that defendant Benjamin Heppner had with a generative artificial intelligence (“AI”) platform were not protected from Government inspection by either the attorney-client privilege or the work product doctrine. </w:t>
      </w:r>
      <w:r>
        <w:rPr>
          <w:rFonts w:ascii="Times New Roman" w:hAnsi="Times New Roman"/>
          <w:color w:val="1f1f1f"/>
          <w:sz w:val="20"/>
          <w:u w:val="single" w:color="1f1f1f"/>
        </w:rPr>
        <w:t>See</w:t>
      </w:r>
      <w:r>
        <w:rPr>
          <w:rFonts w:ascii="Times New Roman" w:hAnsi="Times New Roman"/>
          <w:color w:val="1f1f1f"/>
          <w:sz w:val="20"/>
        </w:rPr>
        <w:t xml:space="preserve"> ECF No. 22 (“Gov't Mot.”). This Memorandum sets forth the reasons for the Court's ruling.</w:t>
      </w:r>
    </w:p>
    <w:p>
      <w:pPr>
        <w:spacing w:before="0" w:after="0" w:line="275" w:lineRule="atLeast"/>
        <w:jc w:val="both"/>
      </w:pPr>
      <w:r>
        <w:rPr>
          <w:rFonts w:ascii="Times New Roman" w:hAnsi="Times New Roman"/>
          <w:color w:val="1f1f1f"/>
          <w:sz w:val="20"/>
        </w:rPr>
        <w:t> </w:t>
      </w:r>
    </w:p>
    <w:bookmarkStart w:id="9" w:name="co_anchor_I339edad110c011f18f19b3ec3d9e"/>
    <w:bookmarkStart w:id="10" w:name="co_anchor_I339edad110c011f18f19b3ec32"/>
    <w:p>
      <w:pPr>
        <w:spacing w:before="400" w:after="0" w:line="275" w:lineRule="atLeast"/>
        <w:jc w:val="both"/>
      </w:pPr>
      <w:r>
        <w:rPr>
          <w:rFonts w:ascii="Times New Roman" w:hAnsi="Times New Roman"/>
          <w:color w:val="1f1f1f"/>
          <w:sz w:val="20"/>
          <w:u w:val="single" w:color="1f1f1f"/>
        </w:rPr>
        <w:t>I. Background and Procedural History</w:t>
      </w:r>
    </w:p>
    <w:bookmarkEnd w:id="10"/>
    <w:bookmarkEnd w:id="9"/>
    <w:p>
      <w:pPr>
        <w:spacing w:before="0" w:after="0" w:line="275" w:lineRule="atLeast"/>
        <w:jc w:val="both"/>
      </w:pPr>
      <w:r>
        <w:rPr>
          <w:rFonts w:ascii="Times New Roman" w:hAnsi="Times New Roman"/>
          <w:color w:val="1f1f1f"/>
          <w:sz w:val="20"/>
        </w:rPr>
        <w:t xml:space="preserve">Generative artificial intelligence tools have become increasingly prevalent across various domains of human activity. It has reliably been estimated, for instance, that more than half of United States households have adopted AI in some form. </w:t>
      </w:r>
      <w:r>
        <w:rPr>
          <w:rFonts w:ascii="Times New Roman" w:hAnsi="Times New Roman"/>
          <w:color w:val="1f1f1f"/>
          <w:sz w:val="20"/>
          <w:u w:val="single" w:color="1f1f1f"/>
        </w:rPr>
        <w:t>See</w:t>
      </w:r>
      <w:r>
        <w:rPr>
          <w:rFonts w:ascii="Times New Roman" w:hAnsi="Times New Roman"/>
          <w:color w:val="1f1f1f"/>
          <w:sz w:val="20"/>
        </w:rPr>
        <w:t xml:space="preserve"> Bond, Trends - Artificial Intelligence (2025), https://www.bondcap.com/report/pdf/Trends_Artificial_Intelligence.pdf at 59 (accessed February 12, 2026). Only three years after its release, one prominent AI platform is being used by more than 800 million people worldwide every week. </w:t>
      </w:r>
      <w:r>
        <w:rPr>
          <w:rFonts w:ascii="Times New Roman" w:hAnsi="Times New Roman"/>
          <w:color w:val="1f1f1f"/>
          <w:sz w:val="20"/>
          <w:u w:val="single" w:color="1f1f1f"/>
        </w:rPr>
        <w:t>Id.</w:t>
      </w:r>
      <w:r>
        <w:rPr>
          <w:rFonts w:ascii="Times New Roman" w:hAnsi="Times New Roman"/>
          <w:color w:val="1f1f1f"/>
          <w:sz w:val="20"/>
        </w:rPr>
        <w:t xml:space="preserve"> at 55. Yet the implications of AI for the law are only beginning to be explored. Thus, the Court's ruling in this case appears to answer a question of first impression nationwide: whether, when a user communicates with a publicly available AI platform in connection with a pending criminal investigation, are the AI user's communications protected by attorney-client privilege or the work product doctrine?</w:t>
      </w:r>
      <w:bookmarkStart w:id="11" w:name="co_fnRef_B00012059283045_ID0EPUAE_1"/>
      <w:hyperlink w:anchor="co_footnote_B00012059283045_1">
        <w:r>
          <w:rPr>
            <w:rFonts w:ascii="Times New Roman" w:hAnsi="Times New Roman"/>
            <w:color w:val="006fc4"/>
            <w:sz w:val="16"/>
            <w:vertAlign w:val="superscript"/>
          </w:rPr>
          <w:t>1</w:t>
        </w:r>
      </w:hyperlink>
      <w:bookmarkEnd w:id="11"/>
      <w:r>
        <w:rPr>
          <w:rFonts w:ascii="Times New Roman" w:hAnsi="Times New Roman"/>
          <w:color w:val="1f1f1f"/>
          <w:sz w:val="20"/>
        </w:rPr>
        <w:t xml:space="preserve"> For the reasons that follow, the answer is no.</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On October 28, 2025, a grand jury in this District returned an indictment charging Heppner with securities fraud, wire fraud, conspiracy to commit securities fraud and wire fraud, making false statements to auditors, and falsifying corporate records. ECF No. 3. The indictment was unsealed on November 4, 2 025, </w:t>
      </w:r>
      <w:r>
        <w:rPr>
          <w:rFonts w:ascii="Times New Roman" w:hAnsi="Times New Roman"/>
          <w:color w:val="1f1f1f"/>
          <w:sz w:val="20"/>
          <w:u w:val="single" w:color="1f1f1f"/>
        </w:rPr>
        <w:t>see</w:t>
      </w:r>
      <w:r>
        <w:rPr>
          <w:rFonts w:ascii="Times New Roman" w:hAnsi="Times New Roman"/>
          <w:color w:val="1f1f1f"/>
          <w:sz w:val="20"/>
        </w:rPr>
        <w:t xml:space="preserve"> ECF No. 4, and Heppner was arrested the following day in the Northern District of Texas. On November 10, 2025, Heppner pleaded not guilty before this Court to all the charges against him and was released on bond. </w:t>
      </w:r>
      <w:r>
        <w:rPr>
          <w:rFonts w:ascii="Times New Roman" w:hAnsi="Times New Roman"/>
          <w:color w:val="1f1f1f"/>
          <w:sz w:val="20"/>
          <w:u w:val="single" w:color="1f1f1f"/>
        </w:rPr>
        <w:t>See</w:t>
      </w:r>
      <w:r>
        <w:rPr>
          <w:rFonts w:ascii="Times New Roman" w:hAnsi="Times New Roman"/>
          <w:color w:val="1f1f1f"/>
          <w:sz w:val="20"/>
        </w:rPr>
        <w:t xml:space="preserve"> ECF Nos. 16, 18. Trial is set to commence April 6, 2026. </w:t>
      </w:r>
      <w:r>
        <w:rPr>
          <w:rFonts w:ascii="Times New Roman" w:hAnsi="Times New Roman"/>
          <w:color w:val="1f1f1f"/>
          <w:sz w:val="20"/>
          <w:u w:val="single" w:color="1f1f1f"/>
        </w:rPr>
        <w:t>See</w:t>
      </w:r>
      <w:r>
        <w:rPr>
          <w:rFonts w:ascii="Times New Roman" w:hAnsi="Times New Roman"/>
          <w:color w:val="1f1f1f"/>
          <w:sz w:val="20"/>
        </w:rPr>
        <w:t xml:space="preserve"> ECF No. 16.</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charges against Heppner arise from his alleged misconduct as an executive of several corporate entities, including the publicly traded company GWG Holdings, Inc. (“GWG”). </w:t>
      </w:r>
      <w:r>
        <w:rPr>
          <w:rFonts w:ascii="Times New Roman" w:hAnsi="Times New Roman"/>
          <w:color w:val="1f1f1f"/>
          <w:sz w:val="20"/>
          <w:u w:val="single" w:color="1f1f1f"/>
        </w:rPr>
        <w:t>See generally</w:t>
      </w:r>
      <w:r>
        <w:rPr>
          <w:rFonts w:ascii="Times New Roman" w:hAnsi="Times New Roman"/>
          <w:color w:val="1f1f1f"/>
          <w:sz w:val="20"/>
        </w:rPr>
        <w:t xml:space="preserve"> ECF No. 3. At a high level, the indictment charges that Heppner defrauded GWG's investors out of more than $150 million by making false representations about, and causing GWG to enter into undisclosed self-serving transactions concerning, two privately held companies that Heppner controlled, Beneficient Company Group, L.P. and Highland Consolidated L.P. </w:t>
      </w:r>
      <w:r>
        <w:rPr>
          <w:rFonts w:ascii="Times New Roman" w:hAnsi="Times New Roman"/>
          <w:color w:val="1f1f1f"/>
          <w:sz w:val="20"/>
          <w:u w:val="single" w:color="1f1f1f"/>
        </w:rPr>
        <w:t>See</w:t>
      </w:r>
      <w:r>
        <w:rPr>
          <w:rFonts w:ascii="Times New Roman" w:hAnsi="Times New Roman"/>
          <w:color w:val="1f1f1f"/>
          <w:sz w:val="20"/>
        </w:rPr>
        <w:t xml:space="preserve"> </w:t>
      </w:r>
      <w:r>
        <w:rPr>
          <w:rFonts w:ascii="Times New Roman" w:hAnsi="Times New Roman"/>
          <w:color w:val="1f1f1f"/>
          <w:sz w:val="20"/>
          <w:u w:val="single" w:color="1f1f1f"/>
        </w:rPr>
        <w:t>id.</w:t>
      </w:r>
      <w:r>
        <w:rPr>
          <w:rFonts w:ascii="Times New Roman" w:hAnsi="Times New Roman"/>
          <w:color w:val="1f1f1f"/>
          <w:sz w:val="20"/>
        </w:rPr>
        <w:t xml:space="preserve"> ¶¶ 1-3.</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In connection with Heppner's arrest on November 4, 2025, agents with the Federal Bureau of Investigation executed a search warrant at Heppner's home and seized numerous documents and electronic devices. </w:t>
      </w:r>
      <w:r>
        <w:rPr>
          <w:rFonts w:ascii="Times New Roman" w:hAnsi="Times New Roman"/>
          <w:color w:val="1f1f1f"/>
          <w:sz w:val="20"/>
          <w:u w:val="single" w:color="1f1f1f"/>
        </w:rPr>
        <w:t>See</w:t>
      </w:r>
      <w:r>
        <w:rPr>
          <w:rFonts w:ascii="Times New Roman" w:hAnsi="Times New Roman"/>
          <w:color w:val="1f1f1f"/>
          <w:sz w:val="20"/>
        </w:rPr>
        <w:t xml:space="preserve"> Gov't Mot. at 3; ECF No. 23-1 at 1. Heppner's counsel later represented to the Government that among the seized materials were approximately thirty-one documents that memorialize communications that Heppner had with the generative AI platform “Claude,” which is operated by the private company Anthropic. </w:t>
      </w:r>
      <w:r>
        <w:rPr>
          <w:rFonts w:ascii="Times New Roman" w:hAnsi="Times New Roman"/>
          <w:color w:val="1f1f1f"/>
          <w:sz w:val="20"/>
          <w:u w:val="single" w:color="1f1f1f"/>
        </w:rPr>
        <w:t>See</w:t>
      </w:r>
      <w:r>
        <w:rPr>
          <w:rFonts w:ascii="Times New Roman" w:hAnsi="Times New Roman"/>
          <w:color w:val="1f1f1f"/>
          <w:sz w:val="20"/>
        </w:rPr>
        <w:t xml:space="preserve"> Gov't Mot. at 3; ECF Nos. 23-1 23-2. According to Heppner's counsel, the documents represent communications between Heppner and Claude that took place “in 2025, after Mr. Heppner had received a grand jury subpoena [and] after it was clear with discussions with the government that Mr. Heppner was the target of this investigation.” Transcript, February 10, 2026 (“Tr.”) at 4. Without any suggestion from counsel that he do so, Heppner “prepared reports that outlined defense strategy, that outlined what he might argue with respect to the facts and the law that we anticipated that the government might be charging.” </w:t>
      </w:r>
      <w:r>
        <w:rPr>
          <w:rFonts w:ascii="Times New Roman" w:hAnsi="Times New Roman"/>
          <w:color w:val="1f1f1f"/>
          <w:sz w:val="20"/>
          <w:u w:val="single" w:color="1f1f1f"/>
        </w:rPr>
        <w:t>Id.</w:t>
      </w:r>
      <w:r>
        <w:rPr>
          <w:rFonts w:ascii="Times New Roman" w:hAnsi="Times New Roman"/>
          <w:color w:val="1f1f1f"/>
          <w:sz w:val="20"/>
        </w:rPr>
        <w:t xml:space="preserve"> Thus, counsel asserted, Heppner “was preparing these reports in anticipation of a potential indictment.” </w:t>
      </w:r>
      <w:r>
        <w:rPr>
          <w:rFonts w:ascii="Times New Roman" w:hAnsi="Times New Roman"/>
          <w:color w:val="1f1f1f"/>
          <w:sz w:val="20"/>
          <w:u w:val="single" w:color="1f1f1f"/>
        </w:rPr>
        <w:t>Id.</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2" w:name="co_pp_sp_999_2_1"/>
      <w:r>
        <w:rPr>
          <w:rFonts w:ascii="Times New Roman" w:hAnsi="Times New Roman"/>
          <w:b/>
          <w:color w:val="000000"/>
          <w:sz w:val="20"/>
        </w:rPr>
        <w:t>*2</w:t>
      </w:r>
      <w:bookmarkEnd w:id="12"/>
      <w:r>
        <w:rPr>
          <w:rFonts w:ascii="Times New Roman" w:hAnsi="Times New Roman"/>
          <w:color w:val="1f1f1f"/>
          <w:sz w:val="20"/>
        </w:rPr>
        <w:t xml:space="preserve"> In exchanges with the Government, Heppner, through his counsel, asserted privilege over these documents (the “AI Documents”), arguing that (1) Heppner had inputted into Claude, among other things, information that Heppner had learned from counsel; (2) Heppner had created the AI Documents for the purpose of speaking with counsel to obtain legal advice; and (3) Heppner had subsequently shared the contents of the AI Documents with counsel. </w:t>
      </w:r>
      <w:r>
        <w:rPr>
          <w:rFonts w:ascii="Times New Roman" w:hAnsi="Times New Roman"/>
          <w:color w:val="1f1f1f"/>
          <w:sz w:val="20"/>
          <w:u w:val="single" w:color="1f1f1f"/>
        </w:rPr>
        <w:t>See</w:t>
      </w:r>
      <w:r>
        <w:rPr>
          <w:rFonts w:ascii="Times New Roman" w:hAnsi="Times New Roman"/>
          <w:color w:val="1f1f1f"/>
          <w:sz w:val="20"/>
        </w:rPr>
        <w:t xml:space="preserve"> Gov't Mot. at 3-4, 11; ECF Nos. 23-2, 23-4, 23-5. Heppner's counsel conceded, however, that counsel “did not direct [Heppner] to run Claude searches.” ECF No. 23-5. Pursuant to a “Privilege Protocol Stipulation,” the Government and Heppner's counsel agreed that the Government would segregate the AI Documents and not inspect them pending the resolution of Heppner's claims of privilege, and Heppner's counsel listed the AI Documents in Heppner's privilege log. </w:t>
      </w:r>
      <w:r>
        <w:rPr>
          <w:rFonts w:ascii="Times New Roman" w:hAnsi="Times New Roman"/>
          <w:color w:val="1f1f1f"/>
          <w:sz w:val="20"/>
          <w:u w:val="single" w:color="1f1f1f"/>
        </w:rPr>
        <w:t>See</w:t>
      </w:r>
      <w:r>
        <w:rPr>
          <w:rFonts w:ascii="Times New Roman" w:hAnsi="Times New Roman"/>
          <w:color w:val="1f1f1f"/>
          <w:sz w:val="20"/>
        </w:rPr>
        <w:t xml:space="preserve"> Gov't Mot. at 3-4 &amp; n.1; ECF Nos. 23-1, 23-2.</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On February 6, 2026, the Government moved, in writing, for a ruling that the AI Documents are protected by neither the attorney-client privilege nor the work product doctrine. Gov't Mot. The Court heard oral argument on the Government's motion at the pretrial conference held on February 10, 2026, and, as noted, orally granted the motion.</w:t>
      </w:r>
    </w:p>
    <w:p>
      <w:pPr>
        <w:spacing w:before="0" w:after="0" w:line="275" w:lineRule="atLeast"/>
        <w:jc w:val="both"/>
      </w:pPr>
      <w:r>
        <w:rPr>
          <w:rFonts w:ascii="Times New Roman" w:hAnsi="Times New Roman"/>
          <w:color w:val="1f1f1f"/>
          <w:sz w:val="20"/>
        </w:rPr>
        <w:t> </w:t>
      </w:r>
    </w:p>
    <w:bookmarkStart w:id="13" w:name="co_anchor_I33a40af110c011f18f19b3ec3d9e"/>
    <w:bookmarkStart w:id="14" w:name="co_anchor_I33a40af110c011f18f19b3ec32"/>
    <w:p>
      <w:pPr>
        <w:spacing w:before="400" w:after="0" w:line="275" w:lineRule="atLeast"/>
        <w:jc w:val="both"/>
      </w:pPr>
      <w:r>
        <w:rPr>
          <w:rFonts w:ascii="Times New Roman" w:hAnsi="Times New Roman"/>
          <w:color w:val="1f1f1f"/>
          <w:sz w:val="20"/>
          <w:u w:val="single" w:color="1f1f1f"/>
        </w:rPr>
        <w:t>II. Attorney-Client Privilege</w:t>
      </w:r>
    </w:p>
    <w:bookmarkEnd w:id="14"/>
    <w:bookmarkEnd w:id="13"/>
    <w:p>
      <w:pPr>
        <w:spacing w:before="0" w:after="0" w:line="275" w:lineRule="atLeast"/>
        <w:jc w:val="both"/>
      </w:pPr>
      <w:r>
        <w:rPr>
          <w:rFonts w:ascii="Times New Roman" w:hAnsi="Times New Roman"/>
          <w:color w:val="1f1f1f"/>
          <w:sz w:val="20"/>
        </w:rPr>
        <w:t xml:space="preserve">It is well established that the attorney-client privilege attaches to, and protects from disclosure, “communications (1) between a client and his or her attorney (2) that are intended to be, and in fact were, kept confidential (3) for the purpose of obtaining or providing legal advice.” </w:t>
      </w:r>
      <w:hyperlink r:id="r16">
        <w:r>
          <w:rPr>
            <w:rFonts w:ascii="Times New Roman" w:hAnsi="Times New Roman"/>
            <w:color w:val="006fc4"/>
            <w:sz w:val="20"/>
            <w:u w:val="single" w:color="006fc4"/>
          </w:rPr>
          <w:t>United States v. Mejia</w:t>
        </w:r>
        <w:r>
          <w:rPr>
            <w:rFonts w:ascii="Times New Roman" w:hAnsi="Times New Roman"/>
            <w:color w:val="006fc4"/>
            <w:sz w:val="20"/>
          </w:rPr>
          <w:t>, 655 F.3d 126, 132 (2d Cir. 2011)</w:t>
        </w:r>
      </w:hyperlink>
      <w:r>
        <w:rPr>
          <w:rFonts w:ascii="Times New Roman" w:hAnsi="Times New Roman"/>
          <w:color w:val="1f1f1f"/>
          <w:sz w:val="20"/>
        </w:rPr>
        <w:t>.</w:t>
      </w:r>
      <w:bookmarkStart w:id="15" w:name="co_fnRef_B00022059283045_ID0EX3AE_1"/>
      <w:hyperlink w:anchor="co_footnote_B00022059283045_1">
        <w:r>
          <w:rPr>
            <w:rFonts w:ascii="Times New Roman" w:hAnsi="Times New Roman"/>
            <w:color w:val="006fc4"/>
            <w:sz w:val="16"/>
            <w:vertAlign w:val="superscript"/>
          </w:rPr>
          <w:t>2</w:t>
        </w:r>
      </w:hyperlink>
      <w:bookmarkEnd w:id="15"/>
      <w:r>
        <w:rPr>
          <w:rFonts w:ascii="Times New Roman" w:hAnsi="Times New Roman"/>
          <w:color w:val="1f1f1f"/>
          <w:sz w:val="20"/>
        </w:rPr>
        <w:t xml:space="preserve"> Courts construe the attorney-client privilege narrowly because it operates as an exception to the rule that “all relevant proof is essential” for a complete record and for “confidence in the fair administration of justice.” </w:t>
      </w:r>
      <w:hyperlink r:id="r17">
        <w:r>
          <w:rPr>
            <w:rFonts w:ascii="Times New Roman" w:hAnsi="Times New Roman"/>
            <w:color w:val="006fc4"/>
            <w:sz w:val="20"/>
            <w:u w:val="single" w:color="006fc4"/>
          </w:rPr>
          <w:t>In re Six Grand Jury Witnesses</w:t>
        </w:r>
        <w:r>
          <w:rPr>
            <w:rFonts w:ascii="Times New Roman" w:hAnsi="Times New Roman"/>
            <w:color w:val="006fc4"/>
            <w:sz w:val="20"/>
          </w:rPr>
          <w:t>, 979 F.2d 939, 943 (2d Cir. 1992)</w:t>
        </w:r>
      </w:hyperlink>
      <w:r>
        <w:rPr>
          <w:rFonts w:ascii="Times New Roman" w:hAnsi="Times New Roman"/>
          <w:color w:val="1f1f1f"/>
          <w:sz w:val="20"/>
        </w:rPr>
        <w:t xml:space="preserve">. </w:t>
      </w:r>
      <w:r>
        <w:rPr>
          <w:rFonts w:ascii="Times New Roman" w:hAnsi="Times New Roman"/>
          <w:color w:val="1f1f1f"/>
          <w:sz w:val="20"/>
          <w:u w:val="single" w:color="1f1f1f"/>
        </w:rPr>
        <w:t>See also</w:t>
      </w:r>
      <w:r>
        <w:rPr>
          <w:rFonts w:ascii="Times New Roman" w:hAnsi="Times New Roman"/>
          <w:color w:val="1f1f1f"/>
          <w:sz w:val="20"/>
        </w:rPr>
        <w:t xml:space="preserve">, </w:t>
      </w:r>
      <w:r>
        <w:rPr>
          <w:rFonts w:ascii="Times New Roman" w:hAnsi="Times New Roman"/>
          <w:color w:val="1f1f1f"/>
          <w:sz w:val="20"/>
          <w:u w:val="single" w:color="1f1f1f"/>
        </w:rPr>
        <w:t>e.g.</w:t>
      </w:r>
      <w:r>
        <w:rPr>
          <w:rFonts w:ascii="Times New Roman" w:hAnsi="Times New Roman"/>
          <w:color w:val="1f1f1f"/>
          <w:sz w:val="20"/>
        </w:rPr>
        <w:t xml:space="preserve">, </w:t>
      </w:r>
      <w:hyperlink r:id="r18">
        <w:r>
          <w:rPr>
            <w:rFonts w:ascii="Times New Roman" w:hAnsi="Times New Roman"/>
            <w:color w:val="006fc4"/>
            <w:sz w:val="20"/>
            <w:u w:val="single" w:color="006fc4"/>
          </w:rPr>
          <w:t>Calvin Klein Trademark Tr. v. Wachner</w:t>
        </w:r>
        <w:r>
          <w:rPr>
            <w:rFonts w:ascii="Times New Roman" w:hAnsi="Times New Roman"/>
            <w:color w:val="006fc4"/>
            <w:sz w:val="20"/>
          </w:rPr>
          <w:t>, 198 F.R.D. 53, 55 (S.D.N.Y. 2000)</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Applying these principles here, the AI Documents lack at least two, if not all three, elements of the attorney-client privilege. </w:t>
      </w:r>
      <w:r>
        <w:rPr>
          <w:rFonts w:ascii="Times New Roman" w:hAnsi="Times New Roman"/>
          <w:color w:val="1f1f1f"/>
          <w:sz w:val="20"/>
          <w:u w:val="single" w:color="1f1f1f"/>
        </w:rPr>
        <w:t>First</w:t>
      </w:r>
      <w:r>
        <w:rPr>
          <w:rFonts w:ascii="Times New Roman" w:hAnsi="Times New Roman"/>
          <w:color w:val="1f1f1f"/>
          <w:sz w:val="20"/>
        </w:rPr>
        <w:t xml:space="preserve">, the AI Documents are not communications between Heppner and his counsel. Heppner does not, and indeed could not, maintain that Claude is an attorney. “In the absence of an attorney-client relationship, the discussion of legal issues between two non-attorneys is not protected by attorney-client privilege.” </w:t>
      </w:r>
      <w:r>
        <w:rPr>
          <w:rFonts w:ascii="Times New Roman" w:hAnsi="Times New Roman"/>
          <w:color w:val="1f1f1f"/>
          <w:sz w:val="20"/>
          <w:u w:val="single" w:color="1f1f1f"/>
        </w:rPr>
        <w:t>E.g.</w:t>
      </w:r>
      <w:r>
        <w:rPr>
          <w:rFonts w:ascii="Times New Roman" w:hAnsi="Times New Roman"/>
          <w:color w:val="1f1f1f"/>
          <w:sz w:val="20"/>
        </w:rPr>
        <w:t xml:space="preserve">, </w:t>
      </w:r>
      <w:hyperlink r:id="r19">
        <w:r>
          <w:rPr>
            <w:rFonts w:ascii="Times New Roman" w:hAnsi="Times New Roman"/>
            <w:color w:val="006fc4"/>
            <w:sz w:val="20"/>
            <w:u w:val="single" w:color="006fc4"/>
          </w:rPr>
          <w:t>In re OpenAI, Inc., Copyright Infringement Litig.</w:t>
        </w:r>
        <w:r>
          <w:rPr>
            <w:rFonts w:ascii="Times New Roman" w:hAnsi="Times New Roman"/>
            <w:color w:val="006fc4"/>
            <w:sz w:val="20"/>
          </w:rPr>
          <w:t>, 802 F. Supp. 3d 688, 699 (S.D.N.Y. 2025)</w:t>
        </w:r>
      </w:hyperlink>
      <w:r>
        <w:rPr>
          <w:rFonts w:ascii="Times New Roman" w:hAnsi="Times New Roman"/>
          <w:color w:val="1f1f1f"/>
          <w:sz w:val="20"/>
        </w:rPr>
        <w:t xml:space="preserve">. Because Claude is not an attorney, </w:t>
      </w:r>
      <w:r>
        <w:rPr>
          <w:rFonts w:ascii="Times New Roman" w:hAnsi="Times New Roman"/>
          <w:color w:val="1f1f1f"/>
          <w:sz w:val="20"/>
          <w:u w:val="single" w:color="1f1f1f"/>
        </w:rPr>
        <w:t>see</w:t>
      </w:r>
      <w:r>
        <w:rPr>
          <w:rFonts w:ascii="Times New Roman" w:hAnsi="Times New Roman"/>
          <w:color w:val="1f1f1f"/>
          <w:sz w:val="20"/>
        </w:rPr>
        <w:t xml:space="preserve"> ECF No. 23-6, that alone disposes of Heppner's claim of privilege.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Court is aware that some commentators have argued that whether Claude is an attorney is irrelevant because a user's AI inputs, rather than being communications, are more akin to the use of other Internet-based software, such as cloud-based word processing applications. But the use of such applications is not intrinsically privileged in any case, and the argument that Claude is like any other form of software only cuts against the invocation of privilege because all “[r]ecognized privileges” require, among other things, “a trusting human relationship,” such as, in the attorney-client context, a relationship “with a licensed professional who owes fiduciary duties and is subject to discipline.” </w:t>
      </w:r>
      <w:r>
        <w:rPr>
          <w:rFonts w:ascii="Times New Roman" w:hAnsi="Times New Roman"/>
          <w:color w:val="1f1f1f"/>
          <w:sz w:val="20"/>
          <w:u w:val="single" w:color="1f1f1f"/>
        </w:rPr>
        <w:t>See</w:t>
      </w:r>
      <w:r>
        <w:rPr>
          <w:rFonts w:ascii="Times New Roman" w:hAnsi="Times New Roman"/>
          <w:color w:val="1f1f1f"/>
          <w:sz w:val="20"/>
        </w:rPr>
        <w:t xml:space="preserve"> Ira P. Robbins, </w:t>
      </w:r>
      <w:r>
        <w:rPr>
          <w:rFonts w:ascii="Times New Roman" w:hAnsi="Times New Roman"/>
          <w:color w:val="1f1f1f"/>
          <w:sz w:val="20"/>
          <w:u w:val="single" w:color="1f1f1f"/>
        </w:rPr>
        <w:t>Against an AI Privilege</w:t>
      </w:r>
      <w:r>
        <w:rPr>
          <w:rFonts w:ascii="Times New Roman" w:hAnsi="Times New Roman"/>
          <w:color w:val="1f1f1f"/>
          <w:sz w:val="20"/>
        </w:rPr>
        <w:t>, JOLT Dig., Harvard L. Sch. (Nov. 7, 2025), https://jolt.law.harvard.edu/digest/against-an-ai-privilege. No such relationship exists, or could exist, between an AI user and a platform such as Claude.</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u w:val="single" w:color="1f1f1f"/>
        </w:rPr>
        <w:t>Second</w:t>
      </w:r>
      <w:r>
        <w:rPr>
          <w:rFonts w:ascii="Times New Roman" w:hAnsi="Times New Roman"/>
          <w:color w:val="1f1f1f"/>
          <w:sz w:val="20"/>
        </w:rPr>
        <w:t xml:space="preserve">, the communications memorialized in the AI Documents were not confidential. This is not merely because Heppner communicated with a third-party AI platform but also because the written privacy policy to which users of Claude consent provides that Anthropic collects data on both users’ “inputs” and Claude's “outputs,” that it uses such data to “train” Claude, and that Anthropic reserves the right to disclose such data to a host of “third parties,” including “governmental regulatory authorities.” </w:t>
      </w:r>
      <w:r>
        <w:rPr>
          <w:rFonts w:ascii="Times New Roman" w:hAnsi="Times New Roman"/>
          <w:color w:val="1f1f1f"/>
          <w:sz w:val="20"/>
          <w:u w:val="single" w:color="1f1f1f"/>
        </w:rPr>
        <w:t>See</w:t>
      </w:r>
      <w:r>
        <w:rPr>
          <w:rFonts w:ascii="Times New Roman" w:hAnsi="Times New Roman"/>
          <w:color w:val="1f1f1f"/>
          <w:sz w:val="20"/>
        </w:rPr>
        <w:t xml:space="preserve"> Anthropic, Privacy Policy (as of February 19, 2025), https://www.anthropic.com/legal/archive/a2eecf43-807a-4a53-89dd-04c44c351138. The policy clearly puts Claude's users on notice that Anthropic, even in the absence of a subpoena compelling it to do so, may “disclose personal data to third parties in connection with claims, disputes[,] or litigation.” </w:t>
      </w:r>
      <w:r>
        <w:rPr>
          <w:rFonts w:ascii="Times New Roman" w:hAnsi="Times New Roman"/>
          <w:color w:val="1f1f1f"/>
          <w:sz w:val="20"/>
          <w:u w:val="single" w:color="1f1f1f"/>
        </w:rPr>
        <w:t>Id.</w:t>
      </w:r>
      <w:r>
        <w:rPr>
          <w:rFonts w:ascii="Times New Roman" w:hAnsi="Times New Roman"/>
          <w:color w:val="1f1f1f"/>
          <w:sz w:val="20"/>
        </w:rPr>
        <w:t xml:space="preserve"> More generally, as another court in this District recently observed, AI users do not have substantial privacy interests in their “conversations with [another publicly accessible AI platform] which users voluntarily disclosed” to the platform and which the platform “retains in the normal course of its business.” </w:t>
      </w:r>
      <w:r>
        <w:rPr>
          <w:rFonts w:ascii="Times New Roman" w:hAnsi="Times New Roman"/>
          <w:color w:val="1f1f1f"/>
          <w:sz w:val="20"/>
          <w:u w:val="single" w:color="1f1f1f"/>
        </w:rPr>
        <w:t>In re OpenAI, Inc., Copyright Infringement Litig.</w:t>
      </w:r>
      <w:r>
        <w:rPr>
          <w:rFonts w:ascii="Times New Roman" w:hAnsi="Times New Roman"/>
          <w:color w:val="1f1f1f"/>
          <w:sz w:val="20"/>
        </w:rPr>
        <w:t xml:space="preserve">, No. 25 MD 3143, ECF No. 1021 at 3 (Jan. 5, 2026). For these reasons, Heppner could have had no “reasonable expectation of confidentiality in his communications” with Claude. </w:t>
      </w:r>
      <w:r>
        <w:rPr>
          <w:rFonts w:ascii="Times New Roman" w:hAnsi="Times New Roman"/>
          <w:color w:val="1f1f1f"/>
          <w:sz w:val="20"/>
          <w:u w:val="single" w:color="1f1f1f"/>
        </w:rPr>
        <w:t>See</w:t>
      </w:r>
      <w:r>
        <w:rPr>
          <w:rFonts w:ascii="Times New Roman" w:hAnsi="Times New Roman"/>
          <w:color w:val="1f1f1f"/>
          <w:sz w:val="20"/>
        </w:rPr>
        <w:t xml:space="preserve"> </w:t>
      </w:r>
      <w:hyperlink r:id="r20">
        <w:r>
          <w:rPr>
            <w:rFonts w:ascii="Times New Roman" w:hAnsi="Times New Roman"/>
            <w:color w:val="006fc4"/>
            <w:sz w:val="20"/>
            <w:u w:val="single" w:color="006fc4"/>
          </w:rPr>
          <w:t>Mejia</w:t>
        </w:r>
        <w:r>
          <w:rPr>
            <w:rFonts w:ascii="Times New Roman" w:hAnsi="Times New Roman"/>
            <w:color w:val="006fc4"/>
            <w:sz w:val="20"/>
          </w:rPr>
          <w:t>, 655 F.3d at 132-34</w:t>
        </w:r>
      </w:hyperlink>
      <w:r>
        <w:rPr>
          <w:rFonts w:ascii="Times New Roman" w:hAnsi="Times New Roman"/>
          <w:color w:val="1f1f1f"/>
          <w:sz w:val="20"/>
        </w:rPr>
        <w:t xml:space="preserve">. And the AI Documents are not like confidential notes that a client prepares with the intent of sharing them with an attorney because Heppner first shared the equivalent of his notes with a third-party, Claude. </w:t>
      </w:r>
      <w:r>
        <w:rPr>
          <w:rFonts w:ascii="Times New Roman" w:hAnsi="Times New Roman"/>
          <w:color w:val="1f1f1f"/>
          <w:sz w:val="20"/>
          <w:u w:val="single" w:color="1f1f1f"/>
        </w:rPr>
        <w:t>Cf.</w:t>
      </w:r>
      <w:r>
        <w:rPr>
          <w:rFonts w:ascii="Times New Roman" w:hAnsi="Times New Roman"/>
          <w:color w:val="1f1f1f"/>
          <w:sz w:val="20"/>
        </w:rPr>
        <w:t xml:space="preserve"> </w:t>
      </w:r>
      <w:hyperlink r:id="r21">
        <w:r>
          <w:rPr>
            <w:rFonts w:ascii="Times New Roman" w:hAnsi="Times New Roman"/>
            <w:color w:val="006fc4"/>
            <w:sz w:val="20"/>
            <w:u w:val="single" w:color="006fc4"/>
          </w:rPr>
          <w:t>United States v. DeFonte</w:t>
        </w:r>
        <w:r>
          <w:rPr>
            <w:rFonts w:ascii="Times New Roman" w:hAnsi="Times New Roman"/>
            <w:color w:val="006fc4"/>
            <w:sz w:val="20"/>
          </w:rPr>
          <w:t>, 441 F.3d 92, 95-96 (2d Cir. 2006)</w:t>
        </w:r>
      </w:hyperlink>
      <w:r>
        <w:rPr>
          <w:rFonts w:ascii="Times New Roman" w:hAnsi="Times New Roman"/>
          <w:color w:val="1f1f1f"/>
          <w:sz w:val="20"/>
        </w:rPr>
        <w:t xml:space="preserve"> (per curiam).</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16" w:name="co_pp_sp_999_3_1"/>
      <w:r>
        <w:rPr>
          <w:rFonts w:ascii="Times New Roman" w:hAnsi="Times New Roman"/>
          <w:b/>
          <w:color w:val="000000"/>
          <w:sz w:val="20"/>
        </w:rPr>
        <w:t>*3</w:t>
      </w:r>
      <w:bookmarkEnd w:id="16"/>
      <w:r>
        <w:rPr>
          <w:rFonts w:ascii="Times New Roman" w:hAnsi="Times New Roman"/>
          <w:color w:val="1f1f1f"/>
          <w:sz w:val="20"/>
        </w:rPr>
        <w:t xml:space="preserve"> </w:t>
      </w:r>
      <w:r>
        <w:rPr>
          <w:rFonts w:ascii="Times New Roman" w:hAnsi="Times New Roman"/>
          <w:color w:val="1f1f1f"/>
          <w:sz w:val="20"/>
          <w:u w:val="single" w:color="1f1f1f"/>
        </w:rPr>
        <w:t>Third</w:t>
      </w:r>
      <w:r>
        <w:rPr>
          <w:rFonts w:ascii="Times New Roman" w:hAnsi="Times New Roman"/>
          <w:color w:val="1f1f1f"/>
          <w:sz w:val="20"/>
        </w:rPr>
        <w:t xml:space="preserve">, Heppner did not communicate with Claude for the purpose of obtaining legal advice. This issue perhaps presents a closer call because Heppner's counsel asserts that Heppner communicated with Claude for the “express purpose of talking to counsel.” ECF No. 23-5. But, as Heppner's counsel also conceded, Heppner did not do so at the suggestion or direction of counsel. </w:t>
      </w:r>
      <w:r>
        <w:rPr>
          <w:rFonts w:ascii="Times New Roman" w:hAnsi="Times New Roman"/>
          <w:color w:val="1f1f1f"/>
          <w:sz w:val="20"/>
          <w:u w:val="single" w:color="1f1f1f"/>
        </w:rPr>
        <w:t>See</w:t>
      </w:r>
      <w:r>
        <w:rPr>
          <w:rFonts w:ascii="Times New Roman" w:hAnsi="Times New Roman"/>
          <w:color w:val="1f1f1f"/>
          <w:sz w:val="20"/>
        </w:rPr>
        <w:t xml:space="preserve"> </w:t>
      </w:r>
      <w:r>
        <w:rPr>
          <w:rFonts w:ascii="Times New Roman" w:hAnsi="Times New Roman"/>
          <w:color w:val="1f1f1f"/>
          <w:sz w:val="20"/>
          <w:u w:val="single" w:color="1f1f1f"/>
        </w:rPr>
        <w:t>id.</w:t>
      </w:r>
      <w:r>
        <w:rPr>
          <w:rFonts w:ascii="Times New Roman" w:hAnsi="Times New Roman"/>
          <w:color w:val="1f1f1f"/>
          <w:sz w:val="20"/>
        </w:rPr>
        <w:t xml:space="preserve"> (noting that counsel “did not direct [Heppner] to run Claude searches”). Had counsel directed Heppner to use Claude, Claude might arguably be said to have functioned in a manner akin to a highly trained professional who may act as a lawyer's agent within the protection of the attorney-client privilege. </w:t>
      </w:r>
      <w:r>
        <w:rPr>
          <w:rFonts w:ascii="Times New Roman" w:hAnsi="Times New Roman"/>
          <w:color w:val="1f1f1f"/>
          <w:sz w:val="20"/>
          <w:u w:val="single" w:color="1f1f1f"/>
        </w:rPr>
        <w:t>Cf.</w:t>
      </w:r>
      <w:r>
        <w:rPr>
          <w:rFonts w:ascii="Times New Roman" w:hAnsi="Times New Roman"/>
          <w:color w:val="1f1f1f"/>
          <w:sz w:val="20"/>
        </w:rPr>
        <w:t xml:space="preserve"> </w:t>
      </w:r>
      <w:hyperlink r:id="r22">
        <w:r>
          <w:rPr>
            <w:rFonts w:ascii="Times New Roman" w:hAnsi="Times New Roman"/>
            <w:color w:val="006fc4"/>
            <w:sz w:val="20"/>
            <w:u w:val="single" w:color="006fc4"/>
          </w:rPr>
          <w:t>United States v. Adlman</w:t>
        </w:r>
        <w:r>
          <w:rPr>
            <w:rFonts w:ascii="Times New Roman" w:hAnsi="Times New Roman"/>
            <w:color w:val="006fc4"/>
            <w:sz w:val="20"/>
          </w:rPr>
          <w:t>, 68 F.3d 1495, 1498-99 (2d Cir. 1995)</w:t>
        </w:r>
      </w:hyperlink>
      <w:r>
        <w:rPr>
          <w:rFonts w:ascii="Times New Roman" w:hAnsi="Times New Roman"/>
          <w:color w:val="1f1f1f"/>
          <w:sz w:val="20"/>
        </w:rPr>
        <w:t xml:space="preserve"> (citing </w:t>
      </w:r>
      <w:hyperlink r:id="r23">
        <w:r>
          <w:rPr>
            <w:rFonts w:ascii="Times New Roman" w:hAnsi="Times New Roman"/>
            <w:color w:val="006fc4"/>
            <w:sz w:val="20"/>
            <w:u w:val="single" w:color="006fc4"/>
          </w:rPr>
          <w:t>United States v. Kovel</w:t>
        </w:r>
        <w:r>
          <w:rPr>
            <w:rFonts w:ascii="Times New Roman" w:hAnsi="Times New Roman"/>
            <w:color w:val="006fc4"/>
            <w:sz w:val="20"/>
          </w:rPr>
          <w:t>, 296 F.2d 918 (2d Cir. 1961)</w:t>
        </w:r>
      </w:hyperlink>
      <w:r>
        <w:rPr>
          <w:rFonts w:ascii="Times New Roman" w:hAnsi="Times New Roman"/>
          <w:color w:val="1f1f1f"/>
          <w:sz w:val="20"/>
        </w:rPr>
        <w:t xml:space="preserve">). But because Heppner communicated with Claude of his own volition, what matters for the attorney-client privilege is whether Heppner intended to obtain legal advice </w:t>
      </w:r>
      <w:r>
        <w:rPr>
          <w:rFonts w:ascii="Times New Roman" w:hAnsi="Times New Roman"/>
          <w:color w:val="1f1f1f"/>
          <w:sz w:val="20"/>
          <w:u w:val="single" w:color="1f1f1f"/>
        </w:rPr>
        <w:t>from Claude</w:t>
      </w:r>
      <w:r>
        <w:rPr>
          <w:rFonts w:ascii="Times New Roman" w:hAnsi="Times New Roman"/>
          <w:color w:val="1f1f1f"/>
          <w:sz w:val="20"/>
        </w:rPr>
        <w:t>, not whether he later shared Claude's outputs with counsel. And Claude disclaims providing legal advice. Indeed, when the Government asked Claude whether it could give legal advice, it responded that “I'm not a lawyer and can't provide formal legal advice or recommendations” and went on to recommend that a user “should consult with a qualified attorney who can properly assess your specific circumstances.” ECF No. 23-6 at 1-2.</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Thus, the communications between Heppner and Claude were not privileged at the time they took place.</w:t>
      </w:r>
      <w:bookmarkStart w:id="17" w:name="co_fnRef_B00032059283045_ID0E3IAG_1"/>
      <w:hyperlink w:anchor="co_footnote_B00032059283045_1">
        <w:r>
          <w:rPr>
            <w:rFonts w:ascii="Times New Roman" w:hAnsi="Times New Roman"/>
            <w:color w:val="006fc4"/>
            <w:sz w:val="16"/>
            <w:vertAlign w:val="superscript"/>
          </w:rPr>
          <w:t>3</w:t>
        </w:r>
      </w:hyperlink>
      <w:bookmarkEnd w:id="17"/>
      <w:r>
        <w:rPr>
          <w:rFonts w:ascii="Times New Roman" w:hAnsi="Times New Roman"/>
          <w:color w:val="1f1f1f"/>
          <w:sz w:val="20"/>
        </w:rPr>
        <w:t xml:space="preserve"> Moreover, even assuming that Heppner intended to share these communications with his counsel and eventually did so, it is black-letter law that non-privileged communications are not somehow alchemically changed into privileged ones upon being shared with counsel. Thus, because the AI Documents “would not be privileged if they remained in [Heppner's] hands,” they did not “acquire protection merely because they were transferred” to counsel. </w:t>
      </w:r>
      <w:r>
        <w:rPr>
          <w:rFonts w:ascii="Times New Roman" w:hAnsi="Times New Roman"/>
          <w:color w:val="1f1f1f"/>
          <w:sz w:val="20"/>
          <w:u w:val="single" w:color="1f1f1f"/>
        </w:rPr>
        <w:t>See</w:t>
      </w:r>
      <w:r>
        <w:rPr>
          <w:rFonts w:ascii="Times New Roman" w:hAnsi="Times New Roman"/>
          <w:color w:val="1f1f1f"/>
          <w:sz w:val="20"/>
        </w:rPr>
        <w:t xml:space="preserve"> </w:t>
      </w:r>
      <w:hyperlink r:id="r24">
        <w:r>
          <w:rPr>
            <w:rFonts w:ascii="Times New Roman" w:hAnsi="Times New Roman"/>
            <w:color w:val="006fc4"/>
            <w:sz w:val="20"/>
            <w:u w:val="single" w:color="006fc4"/>
          </w:rPr>
          <w:t>Gould, Inc. v. Mitsui Min. &amp; Smelting Co., Ltd.</w:t>
        </w:r>
        <w:r>
          <w:rPr>
            <w:rFonts w:ascii="Times New Roman" w:hAnsi="Times New Roman"/>
            <w:color w:val="006fc4"/>
            <w:sz w:val="20"/>
          </w:rPr>
          <w:t>, 825 F.2d 676, 679-80 (2d Cir. 1987)</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bookmarkStart w:id="18" w:name="co_anchor_I33aae8c110c011f18f19b3ec3d9e"/>
    <w:bookmarkStart w:id="19" w:name="co_anchor_I33aae8c110c011f18f19b3ec32"/>
    <w:p>
      <w:pPr>
        <w:spacing w:before="400" w:after="0" w:line="275" w:lineRule="atLeast"/>
        <w:jc w:val="both"/>
      </w:pPr>
      <w:r>
        <w:rPr>
          <w:rFonts w:ascii="Times New Roman" w:hAnsi="Times New Roman"/>
          <w:color w:val="1f1f1f"/>
          <w:sz w:val="20"/>
          <w:u w:val="single" w:color="1f1f1f"/>
        </w:rPr>
        <w:t>III. Work Product Doctrine</w:t>
      </w:r>
    </w:p>
    <w:bookmarkEnd w:id="19"/>
    <w:bookmarkEnd w:id="18"/>
    <w:p>
      <w:pPr>
        <w:spacing w:before="0" w:after="0" w:line="275" w:lineRule="atLeast"/>
        <w:jc w:val="both"/>
      </w:pPr>
      <w:r>
        <w:rPr>
          <w:rFonts w:ascii="Times New Roman" w:hAnsi="Times New Roman"/>
          <w:color w:val="1f1f1f"/>
          <w:sz w:val="20"/>
        </w:rPr>
        <w:t xml:space="preserve">Related to but distinct from the attorney-client privilege, the work product doctrine, “[a]t its core[,] ... shelters the mental processes of the attorney, providing a privileged area within which he can analyze and prepare his client's case.” </w:t>
      </w:r>
      <w:hyperlink r:id="r25">
        <w:r>
          <w:rPr>
            <w:rFonts w:ascii="Times New Roman" w:hAnsi="Times New Roman"/>
            <w:color w:val="006fc4"/>
            <w:sz w:val="20"/>
            <w:u w:val="single" w:color="006fc4"/>
          </w:rPr>
          <w:t>United States v. Nobles</w:t>
        </w:r>
        <w:r>
          <w:rPr>
            <w:rFonts w:ascii="Times New Roman" w:hAnsi="Times New Roman"/>
            <w:color w:val="006fc4"/>
            <w:sz w:val="20"/>
          </w:rPr>
          <w:t>, 422 U.S. 225, 238, 95 S.Ct. 2160, 45 L.Ed.2d 141 (1975)</w:t>
        </w:r>
      </w:hyperlink>
      <w:r>
        <w:rPr>
          <w:rFonts w:ascii="Times New Roman" w:hAnsi="Times New Roman"/>
          <w:color w:val="1f1f1f"/>
          <w:sz w:val="20"/>
        </w:rPr>
        <w:t xml:space="preserve">. The doctrine “provides qualified protection for materials prepared by or at the behest of counsel in anticipation of litigation or for trial.” </w:t>
      </w:r>
      <w:hyperlink r:id="r26">
        <w:r>
          <w:rPr>
            <w:rFonts w:ascii="Times New Roman" w:hAnsi="Times New Roman"/>
            <w:color w:val="006fc4"/>
            <w:sz w:val="20"/>
            <w:u w:val="single" w:color="006fc4"/>
          </w:rPr>
          <w:t>In re Grand Jury Subpoenas Dated March 19, 2002, and August 2, 2002</w:t>
        </w:r>
        <w:r>
          <w:rPr>
            <w:rFonts w:ascii="Times New Roman" w:hAnsi="Times New Roman"/>
            <w:color w:val="006fc4"/>
            <w:sz w:val="20"/>
          </w:rPr>
          <w:t>, 318 F.3d 379, 383 (2d Cir. 2003)</w:t>
        </w:r>
      </w:hyperlink>
      <w:r>
        <w:rPr>
          <w:rFonts w:ascii="Times New Roman" w:hAnsi="Times New Roman"/>
          <w:color w:val="1f1f1f"/>
          <w:sz w:val="20"/>
        </w:rPr>
        <w:t xml:space="preserve">. As with the attorney-client privilege, the work product doctrine is not “lightly created nor expansively construed,” </w:t>
      </w:r>
      <w:hyperlink r:id="r27">
        <w:r>
          <w:rPr>
            <w:rFonts w:ascii="Times New Roman" w:hAnsi="Times New Roman"/>
            <w:color w:val="006fc4"/>
            <w:sz w:val="20"/>
            <w:u w:val="single" w:color="1f1f1f"/>
          </w:rPr>
          <w:t>id.</w:t>
        </w:r>
      </w:hyperlink>
      <w:r>
        <w:rPr>
          <w:rFonts w:ascii="Times New Roman" w:hAnsi="Times New Roman"/>
          <w:color w:val="1f1f1f"/>
          <w:sz w:val="20"/>
        </w:rPr>
        <w:t xml:space="preserve"> (quoting </w:t>
      </w:r>
      <w:hyperlink r:id="r28">
        <w:r>
          <w:rPr>
            <w:rFonts w:ascii="Times New Roman" w:hAnsi="Times New Roman"/>
            <w:color w:val="006fc4"/>
            <w:sz w:val="20"/>
            <w:u w:val="single" w:color="006fc4"/>
          </w:rPr>
          <w:t>United States v. Nixon</w:t>
        </w:r>
        <w:r>
          <w:rPr>
            <w:rFonts w:ascii="Times New Roman" w:hAnsi="Times New Roman"/>
            <w:color w:val="006fc4"/>
            <w:sz w:val="20"/>
          </w:rPr>
          <w:t>, 418 U.S. 683, 710, 94 S.Ct. 3090, 41 L.Ed.2d 1039 (1974)</w:t>
        </w:r>
      </w:hyperlink>
      <w:r>
        <w:rPr>
          <w:rFonts w:ascii="Times New Roman" w:hAnsi="Times New Roman"/>
          <w:color w:val="1f1f1f"/>
          <w:sz w:val="20"/>
        </w:rPr>
        <w:t xml:space="preserve">), and the Second Circuit has repeatedly held that the doctrine's purpose “is not generally promoted by shielding from discovery materials in an attorney's possession that were prepared neither by the attorney nor his agents,” </w:t>
      </w:r>
      <w:hyperlink r:id="r29">
        <w:r>
          <w:rPr>
            <w:rFonts w:ascii="Times New Roman" w:hAnsi="Times New Roman"/>
            <w:color w:val="006fc4"/>
            <w:sz w:val="20"/>
            <w:u w:val="single" w:color="1f1f1f"/>
          </w:rPr>
          <w:t>id.</w:t>
        </w:r>
      </w:hyperlink>
      <w:r>
        <w:rPr>
          <w:rFonts w:ascii="Times New Roman" w:hAnsi="Times New Roman"/>
          <w:color w:val="1f1f1f"/>
          <w:sz w:val="20"/>
        </w:rPr>
        <w:t xml:space="preserve"> (citing </w:t>
      </w:r>
      <w:hyperlink r:id="r30">
        <w:r>
          <w:rPr>
            <w:rFonts w:ascii="Times New Roman" w:hAnsi="Times New Roman"/>
            <w:color w:val="006fc4"/>
            <w:sz w:val="20"/>
            <w:u w:val="single" w:color="006fc4"/>
          </w:rPr>
          <w:t>Matter of Grand Jury Subpoenas Dated Oct. 22, 1991, and Nov. 1, 1991</w:t>
        </w:r>
        <w:r>
          <w:rPr>
            <w:rFonts w:ascii="Times New Roman" w:hAnsi="Times New Roman"/>
            <w:color w:val="006fc4"/>
            <w:sz w:val="20"/>
          </w:rPr>
          <w:t>, 959 F.2d 1158 (2d Cir. 1992)</w:t>
        </w:r>
      </w:hyperlink>
      <w:r>
        <w:rPr>
          <w:rFonts w:ascii="Times New Roman" w:hAnsi="Times New Roman"/>
          <w:color w:val="1f1f1f"/>
          <w:sz w:val="20"/>
        </w:rPr>
        <w:t>). The doctrine's availability in reference to materials in the possession of a client “depends upon the existence of a real, rather than speculative, concern that the thought processes of [the client's] counsel in relation to pending or anticipated litigation would be exposed.”</w:t>
      </w:r>
      <w:r>
        <w:rPr>
          <w:rFonts w:ascii="Times New Roman" w:hAnsi="Times New Roman"/>
          <w:color w:val="1f1f1f"/>
          <w:sz w:val="20"/>
        </w:rPr>
        <w:t xml:space="preserve"> </w:t>
      </w:r>
      <w:r>
        <w:rPr>
          <w:rFonts w:ascii="Times New Roman" w:hAnsi="Times New Roman"/>
          <w:color w:val="1f1f1f"/>
          <w:sz w:val="20"/>
          <w:u w:val="single" w:color="1f1f1f"/>
        </w:rPr>
        <w:t>Matter of Grand Jury Subpoenas</w:t>
      </w:r>
      <w:r>
        <w:rPr>
          <w:rFonts w:ascii="Times New Roman" w:hAnsi="Times New Roman"/>
          <w:color w:val="1f1f1f"/>
          <w:sz w:val="20"/>
        </w:rPr>
        <w:t xml:space="preserve">, 959 F.2d at 1167 (quoting </w:t>
      </w:r>
      <w:hyperlink r:id="r31">
        <w:r>
          <w:rPr>
            <w:rFonts w:ascii="Times New Roman" w:hAnsi="Times New Roman"/>
            <w:color w:val="006fc4"/>
            <w:sz w:val="20"/>
            <w:u w:val="single" w:color="006fc4"/>
          </w:rPr>
          <w:t>Gould</w:t>
        </w:r>
        <w:r>
          <w:rPr>
            <w:rFonts w:ascii="Times New Roman" w:hAnsi="Times New Roman"/>
            <w:color w:val="006fc4"/>
            <w:sz w:val="20"/>
          </w:rPr>
          <w:t>, 825 F.2d at 680</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The AI Documents do not merit protection under the work product doctrine because, even assuming, </w:t>
      </w:r>
      <w:r>
        <w:rPr>
          <w:rFonts w:ascii="Times New Roman" w:hAnsi="Times New Roman"/>
          <w:color w:val="1f1f1f"/>
          <w:sz w:val="20"/>
          <w:u w:val="single" w:color="1f1f1f"/>
        </w:rPr>
        <w:t>arguendo</w:t>
      </w:r>
      <w:r>
        <w:rPr>
          <w:rFonts w:ascii="Times New Roman" w:hAnsi="Times New Roman"/>
          <w:color w:val="1f1f1f"/>
          <w:sz w:val="20"/>
        </w:rPr>
        <w:t xml:space="preserve">, that they were prepared “in anticipation of litigation,” </w:t>
      </w:r>
      <w:hyperlink r:id="r32">
        <w:r>
          <w:rPr>
            <w:rFonts w:ascii="Times New Roman" w:hAnsi="Times New Roman"/>
            <w:color w:val="006fc4"/>
            <w:sz w:val="20"/>
            <w:u w:val="single" w:color="006fc4"/>
          </w:rPr>
          <w:t>In re Grand Jury Subpoenas</w:t>
        </w:r>
        <w:r>
          <w:rPr>
            <w:rFonts w:ascii="Times New Roman" w:hAnsi="Times New Roman"/>
            <w:color w:val="006fc4"/>
            <w:sz w:val="20"/>
          </w:rPr>
          <w:t>, 318 F.3d at 383</w:t>
        </w:r>
      </w:hyperlink>
      <w:r>
        <w:rPr>
          <w:rFonts w:ascii="Times New Roman" w:hAnsi="Times New Roman"/>
          <w:color w:val="1f1f1f"/>
          <w:sz w:val="20"/>
        </w:rPr>
        <w:t xml:space="preserve">, they were nevertheless not “prepared by or at the behest of counsel,” </w:t>
      </w:r>
      <w:hyperlink r:id="r33">
        <w:r>
          <w:rPr>
            <w:rFonts w:ascii="Times New Roman" w:hAnsi="Times New Roman"/>
            <w:color w:val="006fc4"/>
            <w:sz w:val="20"/>
            <w:u w:val="single" w:color="1f1f1f"/>
          </w:rPr>
          <w:t>id.</w:t>
        </w:r>
      </w:hyperlink>
      <w:r>
        <w:rPr>
          <w:rFonts w:ascii="Times New Roman" w:hAnsi="Times New Roman"/>
          <w:color w:val="1f1f1f"/>
          <w:sz w:val="20"/>
        </w:rPr>
        <w:t xml:space="preserve">, nor did they reflect defense counsel's strategy, </w:t>
      </w:r>
      <w:r>
        <w:rPr>
          <w:rFonts w:ascii="Times New Roman" w:hAnsi="Times New Roman"/>
          <w:color w:val="1f1f1f"/>
          <w:sz w:val="20"/>
          <w:u w:val="single" w:color="1f1f1f"/>
        </w:rPr>
        <w:t>see</w:t>
      </w:r>
      <w:r>
        <w:rPr>
          <w:rFonts w:ascii="Times New Roman" w:hAnsi="Times New Roman"/>
          <w:color w:val="1f1f1f"/>
          <w:sz w:val="20"/>
        </w:rPr>
        <w:t xml:space="preserve"> </w:t>
      </w:r>
      <w:hyperlink r:id="r34">
        <w:r>
          <w:rPr>
            <w:rFonts w:ascii="Times New Roman" w:hAnsi="Times New Roman"/>
            <w:color w:val="006fc4"/>
            <w:sz w:val="20"/>
            <w:u w:val="single" w:color="006fc4"/>
          </w:rPr>
          <w:t>Matter of Grand Jury Subpoenas</w:t>
        </w:r>
        <w:r>
          <w:rPr>
            <w:rFonts w:ascii="Times New Roman" w:hAnsi="Times New Roman"/>
            <w:color w:val="006fc4"/>
            <w:sz w:val="20"/>
          </w:rPr>
          <w:t>, 959 F.2d at 1167</w:t>
        </w:r>
      </w:hyperlink>
      <w:r>
        <w:rPr>
          <w:rFonts w:ascii="Times New Roman" w:hAnsi="Times New Roman"/>
          <w:color w:val="1f1f1f"/>
          <w:sz w:val="20"/>
        </w:rPr>
        <w:t xml:space="preserve">. As to the former, Heppner's counsel confirmed that the AI Documents “were prepared by the defendant on his own volition.” Tr. at 5. That means that Heppner was not acting as his counsel's agent when he communicated with Claude. As to the latter, counsel conceded that while the AI Documents did “affect” counsel's strategy going forward, they did not “reflect” counsel's strategy at the time that Heppner created them. </w:t>
      </w:r>
      <w:r>
        <w:rPr>
          <w:rFonts w:ascii="Times New Roman" w:hAnsi="Times New Roman"/>
          <w:color w:val="1f1f1f"/>
          <w:sz w:val="20"/>
          <w:u w:val="single" w:color="1f1f1f"/>
        </w:rPr>
        <w:t>See</w:t>
      </w:r>
      <w:r>
        <w:rPr>
          <w:rFonts w:ascii="Times New Roman" w:hAnsi="Times New Roman"/>
          <w:color w:val="1f1f1f"/>
          <w:sz w:val="20"/>
        </w:rPr>
        <w:t xml:space="preserve"> </w:t>
      </w:r>
      <w:r>
        <w:rPr>
          <w:rFonts w:ascii="Times New Roman" w:hAnsi="Times New Roman"/>
          <w:color w:val="1f1f1f"/>
          <w:sz w:val="20"/>
          <w:u w:val="single" w:color="1f1f1f"/>
        </w:rPr>
        <w:t>id.</w:t>
      </w:r>
    </w:p>
    <w:p>
      <w:pPr>
        <w:spacing w:before="0" w:after="0" w:line="275" w:lineRule="atLeast"/>
        <w:jc w:val="both"/>
      </w:pPr>
      <w:r>
        <w:rPr>
          <w:rFonts w:ascii="Times New Roman" w:hAnsi="Times New Roman"/>
          <w:color w:val="1f1f1f"/>
          <w:sz w:val="20"/>
        </w:rPr>
        <w:t> </w:t>
      </w:r>
    </w:p>
    <w:p>
      <w:pPr>
        <w:spacing w:before="0" w:after="0" w:line="275" w:lineRule="atLeast"/>
        <w:jc w:val="both"/>
      </w:pPr>
      <w:bookmarkStart w:id="20" w:name="co_pp_sp_999_4_1"/>
      <w:r>
        <w:rPr>
          <w:rFonts w:ascii="Times New Roman" w:hAnsi="Times New Roman"/>
          <w:b/>
          <w:color w:val="000000"/>
          <w:sz w:val="20"/>
        </w:rPr>
        <w:t>*4</w:t>
      </w:r>
      <w:bookmarkEnd w:id="20"/>
      <w:r>
        <w:rPr>
          <w:rFonts w:ascii="Times New Roman" w:hAnsi="Times New Roman"/>
          <w:color w:val="1f1f1f"/>
          <w:sz w:val="20"/>
        </w:rPr>
        <w:t xml:space="preserve"> At oral argument, Heppner resisted these conclusions by relying on two authorities. The first, </w:t>
      </w:r>
      <w:hyperlink r:id="r35">
        <w:r>
          <w:rPr>
            <w:rFonts w:ascii="Times New Roman" w:hAnsi="Times New Roman"/>
            <w:color w:val="006fc4"/>
            <w:sz w:val="20"/>
          </w:rPr>
          <w:t>Federal Rule of Criminal Procedure 16(b) (2) (A)</w:t>
        </w:r>
      </w:hyperlink>
      <w:r>
        <w:rPr>
          <w:rFonts w:ascii="Times New Roman" w:hAnsi="Times New Roman"/>
          <w:color w:val="1f1f1f"/>
          <w:sz w:val="20"/>
        </w:rPr>
        <w:t xml:space="preserve">, is inapplicable on its face. That rule provides that, where the Government provides a defendant with pretrial discovery and the defendant thereby becomes obligated to satisfy the Government's pretrial discovery requests, the defendant's obligation does not extend to “discovery or inspection of reports, memoranda, or other documents made by the defendant, or the defendant's attorney or agent, during the case's investigation or defense.” </w:t>
      </w:r>
      <w:r>
        <w:rPr>
          <w:rFonts w:ascii="Times New Roman" w:hAnsi="Times New Roman"/>
          <w:color w:val="1f1f1f"/>
          <w:sz w:val="20"/>
          <w:u w:val="single" w:color="1f1f1f"/>
        </w:rPr>
        <w:t>Id.</w:t>
      </w:r>
      <w:r>
        <w:rPr>
          <w:rFonts w:ascii="Times New Roman" w:hAnsi="Times New Roman"/>
          <w:color w:val="1f1f1f"/>
          <w:sz w:val="20"/>
        </w:rPr>
        <w:t xml:space="preserve"> Here, however, the AI Documents were seized from Heppner, at the time of his arrest, pursuant to a search warrant the validity of which Heppner's counsel does not challenge. </w:t>
      </w:r>
      <w:r>
        <w:rPr>
          <w:rFonts w:ascii="Times New Roman" w:hAnsi="Times New Roman"/>
          <w:color w:val="1f1f1f"/>
          <w:sz w:val="20"/>
          <w:u w:val="single" w:color="1f1f1f"/>
        </w:rPr>
        <w:t>See</w:t>
      </w:r>
      <w:r>
        <w:rPr>
          <w:rFonts w:ascii="Times New Roman" w:hAnsi="Times New Roman"/>
          <w:color w:val="1f1f1f"/>
          <w:sz w:val="20"/>
        </w:rPr>
        <w:t xml:space="preserve"> Gov't Mot. at 3. The Government did not request them, and Heppner did not produce them, in pretrial discovery.</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Heppner's second authority is </w:t>
      </w:r>
      <w:hyperlink r:id="r36">
        <w:r>
          <w:rPr>
            <w:rFonts w:ascii="Times New Roman" w:hAnsi="Times New Roman"/>
            <w:color w:val="006fc4"/>
            <w:sz w:val="20"/>
            <w:u w:val="single" w:color="006fc4"/>
          </w:rPr>
          <w:t>Shih v. Petal Card, Inc.</w:t>
        </w:r>
        <w:r>
          <w:rPr>
            <w:rFonts w:ascii="Times New Roman" w:hAnsi="Times New Roman"/>
            <w:color w:val="006fc4"/>
            <w:sz w:val="20"/>
          </w:rPr>
          <w:t>, 565 F. Supp. 3d 557 (S.D.N.Y. 2021)</w:t>
        </w:r>
      </w:hyperlink>
      <w:r>
        <w:rPr>
          <w:rFonts w:ascii="Times New Roman" w:hAnsi="Times New Roman"/>
          <w:color w:val="1f1f1f"/>
          <w:sz w:val="20"/>
        </w:rPr>
        <w:t xml:space="preserve">. In that case, a Magistrate Judge in this District authorized the plaintiff to withhold certain communications that she had with an individual who was then her lawyer, and later became her husband, that the plaintiff prepared in anticipation of litigation or for trial. The court held that the work product doctrine protected such communications, “regardless of whether [the lawyer/husband] was acting as her counsel at the time, and without showing that another attorney ‘directed the work.’ ” </w:t>
      </w:r>
      <w:hyperlink r:id="r37">
        <w:r>
          <w:rPr>
            <w:rFonts w:ascii="Times New Roman" w:hAnsi="Times New Roman"/>
            <w:color w:val="006fc4"/>
            <w:sz w:val="20"/>
            <w:u w:val="single" w:color="006fc4"/>
          </w:rPr>
          <w:t>Id.</w:t>
        </w:r>
        <w:r>
          <w:rPr>
            <w:rFonts w:ascii="Times New Roman" w:hAnsi="Times New Roman"/>
            <w:color w:val="006fc4"/>
            <w:sz w:val="20"/>
          </w:rPr>
          <w:t xml:space="preserve"> at 574</w:t>
        </w:r>
      </w:hyperlink>
      <w:r>
        <w:rPr>
          <w:rFonts w:ascii="Times New Roman" w:hAnsi="Times New Roman"/>
          <w:color w:val="1f1f1f"/>
          <w:sz w:val="20"/>
        </w:rPr>
        <w:t>.</w:t>
      </w:r>
    </w:p>
    <w:p>
      <w:pPr>
        <w:spacing w:before="0" w:after="0" w:line="275" w:lineRule="atLeast"/>
        <w:jc w:val="both"/>
      </w:pPr>
      <w:r>
        <w:rPr>
          <w:rFonts w:ascii="Times New Roman" w:hAnsi="Times New Roman"/>
          <w:color w:val="1f1f1f"/>
          <w:sz w:val="20"/>
        </w:rPr>
        <w:t> </w:t>
      </w:r>
    </w:p>
    <w:p>
      <w:pPr>
        <w:spacing w:before="0" w:after="0" w:line="275" w:lineRule="atLeast"/>
        <w:jc w:val="both"/>
      </w:pPr>
      <w:hyperlink r:id="r38">
        <w:r>
          <w:rPr>
            <w:rFonts w:ascii="Times New Roman" w:hAnsi="Times New Roman"/>
            <w:color w:val="006fc4"/>
            <w:sz w:val="20"/>
            <w:u w:val="single" w:color="1f1f1f"/>
          </w:rPr>
          <w:t>Shih</w:t>
        </w:r>
      </w:hyperlink>
      <w:r>
        <w:rPr>
          <w:rFonts w:ascii="Times New Roman" w:hAnsi="Times New Roman"/>
          <w:color w:val="1f1f1f"/>
          <w:sz w:val="20"/>
        </w:rPr>
        <w:t xml:space="preserve">, of course, is not binding on this Court, and this Court respectfully disagrees with its holding. As relevant here, the court in </w:t>
      </w:r>
      <w:hyperlink r:id="r39">
        <w:r>
          <w:rPr>
            <w:rFonts w:ascii="Times New Roman" w:hAnsi="Times New Roman"/>
            <w:color w:val="006fc4"/>
            <w:sz w:val="20"/>
            <w:u w:val="single" w:color="1f1f1f"/>
          </w:rPr>
          <w:t>Shih</w:t>
        </w:r>
      </w:hyperlink>
      <w:r>
        <w:rPr>
          <w:rFonts w:ascii="Times New Roman" w:hAnsi="Times New Roman"/>
          <w:color w:val="1f1f1f"/>
          <w:sz w:val="20"/>
        </w:rPr>
        <w:t xml:space="preserve"> principally concluded that the work product doctrine is not limited to materials prepared by or at the direction of an attorney. </w:t>
      </w:r>
      <w:hyperlink r:id="r40">
        <w:r>
          <w:rPr>
            <w:rFonts w:ascii="Times New Roman" w:hAnsi="Times New Roman"/>
            <w:color w:val="006fc4"/>
            <w:sz w:val="20"/>
            <w:u w:val="single" w:color="1f1f1f"/>
          </w:rPr>
          <w:t>Id.</w:t>
        </w:r>
      </w:hyperlink>
      <w:r>
        <w:rPr>
          <w:rFonts w:ascii="Times New Roman" w:hAnsi="Times New Roman"/>
          <w:color w:val="1f1f1f"/>
          <w:sz w:val="20"/>
        </w:rPr>
        <w:t xml:space="preserve"> But that conclusion undermines the policy animating the work product doctrine, which, as one of the cases cited in </w:t>
      </w:r>
      <w:hyperlink r:id="r41">
        <w:r>
          <w:rPr>
            <w:rFonts w:ascii="Times New Roman" w:hAnsi="Times New Roman"/>
            <w:color w:val="006fc4"/>
            <w:sz w:val="20"/>
            <w:u w:val="single" w:color="1f1f1f"/>
          </w:rPr>
          <w:t>Shih</w:t>
        </w:r>
      </w:hyperlink>
      <w:r>
        <w:rPr>
          <w:rFonts w:ascii="Times New Roman" w:hAnsi="Times New Roman"/>
          <w:color w:val="1f1f1f"/>
          <w:sz w:val="20"/>
        </w:rPr>
        <w:t xml:space="preserve"> explains, is “to preserve a zone of privacy in which a lawyer can prepare and develop legal theories and strategy ‘with an eye toward litigation.’ ” </w:t>
      </w:r>
      <w:hyperlink r:id="r42">
        <w:r>
          <w:rPr>
            <w:rFonts w:ascii="Times New Roman" w:hAnsi="Times New Roman"/>
            <w:color w:val="006fc4"/>
            <w:sz w:val="20"/>
            <w:u w:val="single" w:color="006fc4"/>
          </w:rPr>
          <w:t>Parneros v. Barnes &amp; Noble, Inc.</w:t>
        </w:r>
        <w:r>
          <w:rPr>
            <w:rFonts w:ascii="Times New Roman" w:hAnsi="Times New Roman"/>
            <w:color w:val="006fc4"/>
            <w:sz w:val="20"/>
          </w:rPr>
          <w:t>, 332 F.R.D. 482, 492 (S.D.N.Y. 2019)</w:t>
        </w:r>
      </w:hyperlink>
      <w:r>
        <w:rPr>
          <w:rFonts w:ascii="Times New Roman" w:hAnsi="Times New Roman"/>
          <w:color w:val="1f1f1f"/>
          <w:sz w:val="20"/>
        </w:rPr>
        <w:t xml:space="preserve"> (quoting </w:t>
      </w:r>
      <w:hyperlink r:id="r43">
        <w:r>
          <w:rPr>
            <w:rFonts w:ascii="Times New Roman" w:hAnsi="Times New Roman"/>
            <w:color w:val="006fc4"/>
            <w:sz w:val="20"/>
            <w:u w:val="single" w:color="006fc4"/>
          </w:rPr>
          <w:t>United States v. Adlman</w:t>
        </w:r>
        <w:r>
          <w:rPr>
            <w:rFonts w:ascii="Times New Roman" w:hAnsi="Times New Roman"/>
            <w:color w:val="006fc4"/>
            <w:sz w:val="20"/>
          </w:rPr>
          <w:t>, 134 F.3d 1194, 1196 (2d Cir. 1998)</w:t>
        </w:r>
      </w:hyperlink>
      <w:r>
        <w:rPr>
          <w:rFonts w:ascii="Times New Roman" w:hAnsi="Times New Roman"/>
          <w:color w:val="1f1f1f"/>
          <w:sz w:val="20"/>
        </w:rPr>
        <w:t xml:space="preserve"> (quoting, in turn, </w:t>
      </w:r>
      <w:hyperlink r:id="r44">
        <w:r>
          <w:rPr>
            <w:rFonts w:ascii="Times New Roman" w:hAnsi="Times New Roman"/>
            <w:color w:val="006fc4"/>
            <w:sz w:val="20"/>
            <w:u w:val="single" w:color="006fc4"/>
          </w:rPr>
          <w:t>Hickman v. Taylor</w:t>
        </w:r>
        <w:r>
          <w:rPr>
            <w:rFonts w:ascii="Times New Roman" w:hAnsi="Times New Roman"/>
            <w:color w:val="006fc4"/>
            <w:sz w:val="20"/>
          </w:rPr>
          <w:t>, 329 U.S. 495, 510-11, 67 S.Ct. 385, 91 L.Ed. 451 (1947)</w:t>
        </w:r>
      </w:hyperlink>
      <w:r>
        <w:rPr>
          <w:rFonts w:ascii="Times New Roman" w:hAnsi="Times New Roman"/>
          <w:color w:val="1f1f1f"/>
          <w:sz w:val="20"/>
        </w:rPr>
        <w:t xml:space="preserve">)); </w:t>
      </w:r>
      <w:r>
        <w:rPr>
          <w:rFonts w:ascii="Times New Roman" w:hAnsi="Times New Roman"/>
          <w:color w:val="1f1f1f"/>
          <w:sz w:val="20"/>
          <w:u w:val="single" w:color="1f1f1f"/>
        </w:rPr>
        <w:t>see</w:t>
      </w:r>
      <w:r>
        <w:rPr>
          <w:rFonts w:ascii="Times New Roman" w:hAnsi="Times New Roman"/>
          <w:color w:val="1f1f1f"/>
          <w:sz w:val="20"/>
        </w:rPr>
        <w:t xml:space="preserve"> </w:t>
      </w:r>
      <w:r>
        <w:rPr>
          <w:rFonts w:ascii="Times New Roman" w:hAnsi="Times New Roman"/>
          <w:color w:val="1f1f1f"/>
          <w:sz w:val="20"/>
          <w:u w:val="single" w:color="1f1f1f"/>
        </w:rPr>
        <w:t>Shih</w:t>
      </w:r>
      <w:r>
        <w:rPr>
          <w:rFonts w:ascii="Times New Roman" w:hAnsi="Times New Roman"/>
          <w:color w:val="1f1f1f"/>
          <w:sz w:val="20"/>
        </w:rPr>
        <w:t xml:space="preserve">, 565 F. Supp. 3d at 574 (citing </w:t>
      </w:r>
      <w:hyperlink r:id="r45">
        <w:r>
          <w:rPr>
            <w:rFonts w:ascii="Times New Roman" w:hAnsi="Times New Roman"/>
            <w:color w:val="006fc4"/>
            <w:sz w:val="20"/>
            <w:u w:val="single" w:color="1f1f1f"/>
          </w:rPr>
          <w:t>Parneros</w:t>
        </w:r>
      </w:hyperlink>
      <w:r>
        <w:rPr>
          <w:rFonts w:ascii="Times New Roman" w:hAnsi="Times New Roman"/>
          <w:color w:val="1f1f1f"/>
          <w:sz w:val="20"/>
        </w:rPr>
        <w:t xml:space="preserve">). While it is true that the work product doctrine may apply to materials generated by non-lawyers, the Second Circuit has repeatedly stressed that the purpose of the doctrine is to protect lawyers’ mental processes. </w:t>
      </w:r>
      <w:r>
        <w:rPr>
          <w:rFonts w:ascii="Times New Roman" w:hAnsi="Times New Roman"/>
          <w:color w:val="1f1f1f"/>
          <w:sz w:val="20"/>
          <w:u w:val="single" w:color="1f1f1f"/>
        </w:rPr>
        <w:t>See, e.g.</w:t>
      </w:r>
      <w:r>
        <w:rPr>
          <w:rFonts w:ascii="Times New Roman" w:hAnsi="Times New Roman"/>
          <w:color w:val="1f1f1f"/>
          <w:sz w:val="20"/>
        </w:rPr>
        <w:t xml:space="preserve">, </w:t>
      </w:r>
      <w:hyperlink r:id="r46">
        <w:r>
          <w:rPr>
            <w:rFonts w:ascii="Times New Roman" w:hAnsi="Times New Roman"/>
            <w:color w:val="006fc4"/>
            <w:sz w:val="20"/>
            <w:u w:val="single" w:color="006fc4"/>
          </w:rPr>
          <w:t>In re Grand Jury Subpoenas</w:t>
        </w:r>
        <w:r>
          <w:rPr>
            <w:rFonts w:ascii="Times New Roman" w:hAnsi="Times New Roman"/>
            <w:color w:val="006fc4"/>
            <w:sz w:val="20"/>
          </w:rPr>
          <w:t>, 318 F.3d at 383-85</w:t>
        </w:r>
      </w:hyperlink>
      <w:r>
        <w:rPr>
          <w:rFonts w:ascii="Times New Roman" w:hAnsi="Times New Roman"/>
          <w:color w:val="1f1f1f"/>
          <w:sz w:val="20"/>
        </w:rPr>
        <w:t xml:space="preserve"> (extensively describing doctrine's rationale and applying it to material “prepared by or for counsel”); </w:t>
      </w:r>
      <w:hyperlink r:id="r47">
        <w:r>
          <w:rPr>
            <w:rFonts w:ascii="Times New Roman" w:hAnsi="Times New Roman"/>
            <w:color w:val="006fc4"/>
            <w:sz w:val="20"/>
            <w:u w:val="single" w:color="006fc4"/>
          </w:rPr>
          <w:t>Adlman</w:t>
        </w:r>
        <w:r>
          <w:rPr>
            <w:rFonts w:ascii="Times New Roman" w:hAnsi="Times New Roman"/>
            <w:color w:val="006fc4"/>
            <w:sz w:val="20"/>
          </w:rPr>
          <w:t>, 134 F.3d at 1197</w:t>
        </w:r>
      </w:hyperlink>
      <w:r>
        <w:rPr>
          <w:rFonts w:ascii="Times New Roman" w:hAnsi="Times New Roman"/>
          <w:color w:val="1f1f1f"/>
          <w:sz w:val="20"/>
        </w:rPr>
        <w:t xml:space="preserve"> (similar); </w:t>
      </w:r>
      <w:hyperlink r:id="r48">
        <w:r>
          <w:rPr>
            <w:rFonts w:ascii="Times New Roman" w:hAnsi="Times New Roman"/>
            <w:color w:val="006fc4"/>
            <w:sz w:val="20"/>
            <w:u w:val="single" w:color="006fc4"/>
          </w:rPr>
          <w:t>Adlman</w:t>
        </w:r>
        <w:r>
          <w:rPr>
            <w:rFonts w:ascii="Times New Roman" w:hAnsi="Times New Roman"/>
            <w:color w:val="006fc4"/>
            <w:sz w:val="20"/>
          </w:rPr>
          <w:t>, 68 F.3d at 1500-02</w:t>
        </w:r>
      </w:hyperlink>
      <w:r>
        <w:rPr>
          <w:rFonts w:ascii="Times New Roman" w:hAnsi="Times New Roman"/>
          <w:color w:val="1f1f1f"/>
          <w:sz w:val="20"/>
        </w:rPr>
        <w:t xml:space="preserve"> (similar); </w:t>
      </w:r>
      <w:hyperlink r:id="r49">
        <w:r>
          <w:rPr>
            <w:rFonts w:ascii="Times New Roman" w:hAnsi="Times New Roman"/>
            <w:color w:val="006fc4"/>
            <w:sz w:val="20"/>
            <w:u w:val="single" w:color="006fc4"/>
          </w:rPr>
          <w:t>Matter of Grand Jury Subpoenas</w:t>
        </w:r>
        <w:r>
          <w:rPr>
            <w:rFonts w:ascii="Times New Roman" w:hAnsi="Times New Roman"/>
            <w:color w:val="006fc4"/>
            <w:sz w:val="20"/>
          </w:rPr>
          <w:t>, 959 F.2d at 1166</w:t>
        </w:r>
      </w:hyperlink>
      <w:r>
        <w:rPr>
          <w:rFonts w:ascii="Times New Roman" w:hAnsi="Times New Roman"/>
          <w:color w:val="1f1f1f"/>
          <w:sz w:val="20"/>
        </w:rPr>
        <w:t xml:space="preserve"> (doctrine “generally does not shield from discovery documents that were not prepared by the attorneys themselves, or their agents”); </w:t>
      </w:r>
      <w:r>
        <w:rPr>
          <w:rFonts w:ascii="Times New Roman" w:hAnsi="Times New Roman"/>
          <w:color w:val="1f1f1f"/>
          <w:sz w:val="20"/>
          <w:u w:val="single" w:color="1f1f1f"/>
        </w:rPr>
        <w:t>see also</w:t>
      </w:r>
      <w:r>
        <w:rPr>
          <w:rFonts w:ascii="Times New Roman" w:hAnsi="Times New Roman"/>
          <w:color w:val="1f1f1f"/>
          <w:sz w:val="20"/>
        </w:rPr>
        <w:t xml:space="preserve"> </w:t>
      </w:r>
      <w:hyperlink r:id="r50">
        <w:r>
          <w:rPr>
            <w:rFonts w:ascii="Times New Roman" w:hAnsi="Times New Roman"/>
            <w:color w:val="006fc4"/>
            <w:sz w:val="20"/>
            <w:u w:val="single" w:color="006fc4"/>
          </w:rPr>
          <w:t>Bice v. Robb</w:t>
        </w:r>
        <w:r>
          <w:rPr>
            <w:rFonts w:ascii="Times New Roman" w:hAnsi="Times New Roman"/>
            <w:color w:val="006fc4"/>
            <w:sz w:val="20"/>
          </w:rPr>
          <w:t>, 511 F. App'x 108, 110 (2d Cir. 2013)</w:t>
        </w:r>
      </w:hyperlink>
      <w:r>
        <w:rPr>
          <w:rFonts w:ascii="Times New Roman" w:hAnsi="Times New Roman"/>
          <w:color w:val="1f1f1f"/>
          <w:sz w:val="20"/>
        </w:rPr>
        <w:t xml:space="preserve"> (summary order) (declining to extend protection to documents “not the work product of an individual acting as [plaintiffs’] attorney”).</w:t>
      </w:r>
    </w:p>
    <w:p>
      <w:pPr>
        <w:spacing w:before="0" w:after="0" w:line="275" w:lineRule="atLeast"/>
        <w:jc w:val="both"/>
      </w:pPr>
      <w:r>
        <w:rPr>
          <w:rFonts w:ascii="Times New Roman" w:hAnsi="Times New Roman"/>
          <w:color w:val="1f1f1f"/>
          <w:sz w:val="20"/>
        </w:rPr>
        <w:t> </w:t>
      </w:r>
    </w:p>
    <w:p>
      <w:pPr>
        <w:spacing w:before="0" w:after="0" w:line="275" w:lineRule="atLeast"/>
        <w:jc w:val="both"/>
      </w:pPr>
      <w:r>
        <w:rPr>
          <w:rFonts w:ascii="Times New Roman" w:hAnsi="Times New Roman"/>
          <w:color w:val="1f1f1f"/>
          <w:sz w:val="20"/>
        </w:rPr>
        <w:t xml:space="preserve">Here, there is no dispute that Heppner acted on his own when he created the AI Documents. </w:t>
      </w:r>
      <w:r>
        <w:rPr>
          <w:rFonts w:ascii="Times New Roman" w:hAnsi="Times New Roman"/>
          <w:color w:val="1f1f1f"/>
          <w:sz w:val="20"/>
          <w:u w:val="single" w:color="1f1f1f"/>
        </w:rPr>
        <w:t>See</w:t>
      </w:r>
      <w:r>
        <w:rPr>
          <w:rFonts w:ascii="Times New Roman" w:hAnsi="Times New Roman"/>
          <w:color w:val="1f1f1f"/>
          <w:sz w:val="20"/>
        </w:rPr>
        <w:t xml:space="preserve"> ECF No. 23-5 (noting that defense counsel “did not direct [Heppner] to run Claude searches”); Tr. at 5 (confirming same). Because the AI Documents were not prepared at the behest of counsel and did not disclose counsel's strategy, they do not merit protection as work product.</w:t>
      </w:r>
    </w:p>
    <w:p>
      <w:pPr>
        <w:spacing w:before="0" w:after="0" w:line="275" w:lineRule="atLeast"/>
        <w:jc w:val="both"/>
      </w:pPr>
      <w:r>
        <w:rPr>
          <w:rFonts w:ascii="Times New Roman" w:hAnsi="Times New Roman"/>
          <w:color w:val="1f1f1f"/>
          <w:sz w:val="20"/>
        </w:rPr>
        <w:t> </w:t>
      </w:r>
    </w:p>
    <w:bookmarkStart w:id="21" w:name="co_anchor_I33b1787110c011f18f19b3ec3d9e"/>
    <w:bookmarkStart w:id="22" w:name="co_anchor_I33b1787110c011f18f19b3ec32"/>
    <w:p>
      <w:pPr>
        <w:spacing w:before="400" w:after="0" w:line="275" w:lineRule="atLeast"/>
        <w:jc w:val="both"/>
      </w:pPr>
      <w:r>
        <w:rPr>
          <w:rFonts w:ascii="Times New Roman" w:hAnsi="Times New Roman"/>
          <w:color w:val="1f1f1f"/>
          <w:sz w:val="20"/>
          <w:u w:val="single" w:color="1f1f1f"/>
        </w:rPr>
        <w:t>IV. Conclusion</w:t>
      </w:r>
    </w:p>
    <w:bookmarkEnd w:id="22"/>
    <w:bookmarkEnd w:id="21"/>
    <w:p>
      <w:pPr>
        <w:spacing w:before="0" w:after="0" w:line="275" w:lineRule="atLeast"/>
        <w:jc w:val="both"/>
      </w:pPr>
      <w:r>
        <w:rPr>
          <w:rFonts w:ascii="Times New Roman" w:hAnsi="Times New Roman"/>
          <w:color w:val="1f1f1f"/>
          <w:sz w:val="20"/>
        </w:rPr>
        <w:t>Generative artificial intelligence presents a new frontier in the ongoing dialogue between technology and the law. Time will tell whether, as in the case of other technological advances, generative artificial intelligence will fulfill its promise to revolutionize the way we process information. But AI's novelty does not mean that its use is not subject to longstanding legal principles, such as those governing the attorney-client privilege and the work product doctrine. Because Heppner's use of Claude fails to satisfy either of these rules, the AI Documents do not merit the protections Heppner has claimed.</w:t>
      </w:r>
    </w:p>
    <w:p>
      <w:pPr>
        <w:spacing w:before="0" w:after="0" w:line="275" w:lineRule="atLeast"/>
        <w:jc w:val="both"/>
      </w:pPr>
      <w:r>
        <w:rPr>
          <w:rFonts w:ascii="Times New Roman" w:hAnsi="Times New Roman"/>
          <w:color w:val="1f1f1f"/>
          <w:sz w:val="20"/>
        </w:rPr>
        <w:t> </w:t>
      </w:r>
    </w:p>
    <w:bookmarkStart w:id="23" w:name="co_allCitations_1"/>
    <w:p>
      <w:pPr>
        <w:keepNext/>
        <w:keepLines/>
        <w:spacing w:before="200" w:after="0" w:line="275" w:lineRule="atLeast"/>
        <w:jc w:val="both"/>
      </w:pPr>
      <w:r>
        <w:rPr>
          <w:rFonts w:ascii="Times New Roman" w:hAnsi="Times New Roman"/>
          <w:b/>
          <w:color w:val="212121"/>
          <w:sz w:val="20"/>
        </w:rPr>
        <w:t>All Citations</w:t>
      </w:r>
    </w:p>
    <w:bookmarkEnd w:id="23"/>
    <w:p>
      <w:pPr>
        <w:spacing w:before="200" w:after="0" w:line="275" w:lineRule="atLeast"/>
        <w:jc w:val="both"/>
      </w:pPr>
      <w:r>
        <w:rPr>
          <w:rFonts w:ascii="Times New Roman" w:hAnsi="Times New Roman"/>
          <w:color w:val="1f1f1f"/>
          <w:sz w:val="20"/>
        </w:rPr>
        <w:t>--- F.Supp.3d ----, 2026 WL 436479</w:t>
      </w:r>
    </w:p>
    <w:p>
      <w:pPr>
        <w:sectPr>
          <w:headerReference w:type="default" r:id="r5"/>
          <w:headerReference w:type="even" r:id="r5"/>
          <w:footerReference w:type="default" r:id="r6"/>
          <w:footerReference w:type="even" r:id="r6"/>
          <w:pgSz w:w="12240" w:h="15840"/>
          <w:pgMar w:top="1080" w:bottom="1080" w:left="1080" w:right="1080" w:header="0" w:footer="0" w:gutter="0"/>
          <w:pgNumType w:fmt="decimal" w:start="1"/>
          <w:cols w:num="2" w:space="240"/>
        </w:sectPr>
      </w:pPr>
    </w:p>
    <w:p>
      <w:pPr>
        <w:spacing w:before="0" w:after="0" w:line="240" w:lineRule="auto"/>
        <w:rPr>
          <w:sz w:val="24"/>
        </w:rPr>
      </w:pPr>
    </w:p>
    <w:tbl>
      <w:tblPr>
        <w:tblLayout w:type="fixed"/>
      </w:tblPr>
      <w:tblGrid>
        <w:gridCol w:w="600"/>
        <w:gridCol w:w="9450"/>
      </w:tblGrid>
      <w:tr>
        <w:tblPrEx/>
        <w:trPr/>
        <w:tc>
          <w:tcPr>
            <w:hMerge w:val="restart"/>
            <w:tcMar>
              <w:top w:w="200" w:type="dxa"/>
            </w:tcMar>
            <w:vAlign w:val="top"/>
          </w:tcPr>
          <w:p>
            <w:pPr>
              <w:spacing w:before="0" w:after="0" w:line="275" w:lineRule="atLeast"/>
            </w:pPr>
            <w:r>
              <w:rPr>
                <w:rFonts w:ascii="Times New Roman" w:hAnsi="Times New Roman"/>
                <w:color w:val="000000"/>
                <w:sz w:val="20"/>
              </w:rPr>
              <w:t>Footnotes</w:t>
            </w:r>
          </w:p>
        </w:tc>
        <w:tc>
          <w:tcPr>
            <w:hMerge w:val="continue"/>
            <w:tcMar>
              <w:top w:w="200" w:type="dxa"/>
            </w:tcMar>
            <w:vAlign w:val="top"/>
          </w:tcPr>
          <w:p>
            <w:pPr>
              <w:spacing w:before="0" w:after="0" w:line="240" w:lineRule="auto"/>
              <w:rPr>
                <w:rFonts w:ascii="Times New Roman" w:hAnsi="Times New Roman"/>
                <w:color w:val="000000"/>
                <w:sz w:val="20"/>
              </w:rPr>
            </w:pPr>
          </w:p>
        </w:tc>
      </w:tr>
      <w:tr>
        <w:tblPrEx/>
        <w:trPr/>
        <w:tc>
          <w:tcPr>
            <w:vAlign w:val="top"/>
          </w:tcPr>
          <w:p>
            <w:pPr>
              <w:spacing w:before="0" w:after="0" w:line="275" w:lineRule="atLeast"/>
            </w:pPr>
            <w:bookmarkStart w:id="24" w:name="co_footnote_B00012059283045_1"/>
            <w:hyperlink w:anchor="co_fnRef_B00012059283045_ID0EPUAE_1">
              <w:r>
                <w:rPr>
                  <w:rFonts w:ascii="Times New Roman" w:hAnsi="Times New Roman"/>
                  <w:color w:val="006fc4"/>
                  <w:sz w:val="24"/>
                  <w:vertAlign w:val="superscript"/>
                </w:rPr>
                <w:t>1</w:t>
              </w:r>
            </w:hyperlink>
            <w:bookmarkEnd w:id="24"/>
          </w:p>
        </w:tc>
        <w:tc>
          <w:tcPr>
            <w:vAlign w:val="top"/>
          </w:tcPr>
          <w:p>
            <w:pPr>
              <w:pBdr>
                <w:bottom w:val="none" w:space="8"/>
              </w:pBdr>
              <w:spacing w:before="0" w:after="0" w:line="255" w:lineRule="atLeast"/>
              <w:jc w:val="both"/>
            </w:pPr>
            <w:r>
              <w:rPr>
                <w:rFonts w:ascii="Times New Roman" w:hAnsi="Times New Roman"/>
                <w:color w:val="000000"/>
                <w:sz w:val="18"/>
              </w:rPr>
              <w:t>The Court is unaware of, and the parties have not identified, any case to date that has presented this issue. Most published decisions involving generative artificial intelligence have had to do with attorneys’ misuse of that technology. That set of concerns is plainly not present here.</w:t>
            </w:r>
          </w:p>
        </w:tc>
      </w:tr>
      <w:tr>
        <w:tblPrEx/>
        <w:trPr/>
        <w:tc>
          <w:tcPr>
            <w:vAlign w:val="top"/>
          </w:tcPr>
          <w:p>
            <w:pPr>
              <w:spacing w:before="0" w:after="0" w:line="275" w:lineRule="atLeast"/>
            </w:pPr>
            <w:bookmarkStart w:id="25" w:name="co_footnote_B00022059283045_1"/>
            <w:hyperlink w:anchor="co_fnRef_B00022059283045_ID0EX3AE_1">
              <w:r>
                <w:rPr>
                  <w:rFonts w:ascii="Times New Roman" w:hAnsi="Times New Roman"/>
                  <w:color w:val="006fc4"/>
                  <w:sz w:val="24"/>
                  <w:vertAlign w:val="superscript"/>
                </w:rPr>
                <w:t>2</w:t>
              </w:r>
            </w:hyperlink>
            <w:bookmarkEnd w:id="25"/>
          </w:p>
        </w:tc>
        <w:tc>
          <w:tcPr>
            <w:vAlign w:val="top"/>
          </w:tcPr>
          <w:p>
            <w:pPr>
              <w:pBdr>
                <w:bottom w:val="none" w:space="8"/>
              </w:pBdr>
              <w:spacing w:before="0" w:after="0" w:line="255" w:lineRule="atLeast"/>
              <w:jc w:val="both"/>
            </w:pPr>
            <w:r>
              <w:rPr>
                <w:rFonts w:ascii="Times New Roman" w:hAnsi="Times New Roman"/>
                <w:color w:val="000000"/>
                <w:sz w:val="18"/>
              </w:rPr>
              <w:t>Except where otherwise indicated, all quotations in this Memorandum omit citations, quotation marks, footnotes, brackets, ellipses, and other alterations in source material.</w:t>
            </w:r>
          </w:p>
        </w:tc>
      </w:tr>
      <w:tr>
        <w:tblPrEx/>
        <w:trPr/>
        <w:tc>
          <w:tcPr>
            <w:vAlign w:val="top"/>
          </w:tcPr>
          <w:p>
            <w:pPr>
              <w:spacing w:before="0" w:after="0" w:line="275" w:lineRule="atLeast"/>
            </w:pPr>
            <w:bookmarkStart w:id="26" w:name="co_footnote_B00032059283045_1"/>
            <w:hyperlink w:anchor="co_fnRef_B00032059283045_ID0E3IAG_1">
              <w:r>
                <w:rPr>
                  <w:rFonts w:ascii="Times New Roman" w:hAnsi="Times New Roman"/>
                  <w:color w:val="006fc4"/>
                  <w:sz w:val="24"/>
                  <w:vertAlign w:val="superscript"/>
                </w:rPr>
                <w:t>3</w:t>
              </w:r>
            </w:hyperlink>
            <w:bookmarkEnd w:id="26"/>
          </w:p>
        </w:tc>
        <w:tc>
          <w:tcPr>
            <w:vAlign w:val="top"/>
          </w:tcPr>
          <w:p>
            <w:pPr>
              <w:pBdr>
                <w:bottom w:val="none" w:space="8"/>
              </w:pBdr>
              <w:spacing w:before="0" w:after="0" w:line="255" w:lineRule="atLeast"/>
              <w:jc w:val="both"/>
            </w:pPr>
            <w:r>
              <w:rPr>
                <w:rFonts w:ascii="Times New Roman" w:hAnsi="Times New Roman"/>
                <w:color w:val="000000"/>
                <w:sz w:val="18"/>
              </w:rPr>
              <w:t>At oral argument, Heppner's counsel suggested in passing that the AI Documents may be privileged because they “incorporated information that we had conveyed to Mr. Heppner over the course of our representation.” Tr. at 3. But even if certain information that Heppner input into Claude was privileged, he waived the privilege by sharing that information with Claude and Anthropic, just as if he had shared it with any other third party. Further, in light of Anthropic's privacy policy discussed above, Heppner had no reasonable expectation that the inputs would not be shared with other third parties.</w:t>
            </w:r>
          </w:p>
        </w:tc>
      </w:tr>
    </w:tbl>
    <w:p>
      <w:pPr>
        <w:spacing w:before="0" w:after="0" w:line="240" w:lineRule="auto"/>
        <w:rPr>
          <w:sz w:val="24"/>
        </w:rPr>
      </w:pPr>
    </w:p>
    <w:tbl>
      <w:tblPr>
        <w:tblInd w:w="24" w:type="dxa"/>
        <w:tblLayout w:type="fixed"/>
      </w:tblPr>
      <w:tblGrid>
        <w:gridCol w:w="4305"/>
        <w:gridCol w:w="5745"/>
      </w:tblGrid>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30" w:type="dxa"/>
              <w:right w:w="30" w:type="dxa"/>
            </w:tcMar>
            <w:vAlign w:val="top"/>
          </w:tcPr>
          <w:p>
            <w:pPr>
              <w:spacing w:before="0" w:after="0" w:line="235" w:lineRule="atLeast"/>
              <w:jc w:val="right"/>
            </w:pPr>
            <w:r>
              <w:rPr>
                <w:rFonts w:ascii="Times New Roman" w:hAnsi="Times New Roman"/>
                <w:color w:val="777777"/>
                <w:sz w:val="20"/>
              </w:rPr>
              <w:t>© 2026 Thomson Reuters. No claim to original U.S. Government Works.</w:t>
            </w:r>
          </w:p>
        </w:tc>
      </w:tr>
    </w:tbl>
    <w:sectPr>
      <w:pgSz w:w="12240" w:h="15840"/>
      <w:pgMar w:top="1080" w:bottom="1080" w:left="1080" w:right="1080"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2026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United States v. Heppner, --- F.Supp.3d ---- (2026)</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